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E45" w:rsidRPr="00FE4B89" w:rsidRDefault="007A7E45" w:rsidP="00FE4B89"/>
    <w:p w:rsidR="00531863" w:rsidRDefault="000304DA">
      <w:pPr>
        <w:pStyle w:val="Heading3"/>
      </w:pPr>
      <w:r>
        <w:rPr>
          <w:rFonts w:cs="Times New Roman"/>
        </w:rPr>
        <w:t>38487 Agencija za znanost i visoko obrazovanje</w:t>
      </w:r>
    </w:p>
    <w:p w:rsidR="00531863" w:rsidRDefault="000304DA">
      <w:r>
        <w:t>U 2025. g. Agencija za znanost i visoko obrazovanje provodi aktivnosti i zadatke u skladu s Zakonom o osiguravanju kvalitete u visokom obrazovanju i znanosti koji je usvojen u prosincu 2022. g. („Narodne novine“, broj 151/22). U tom su smislu revidirani sv</w:t>
      </w:r>
      <w:r>
        <w:t>i dokumenti koji se koriste u postupcima inicijalne akreditacije studija, inicijalne akreditacije visokog učilišta, reakreditacije visokog učilišta, inicijalne akreditacije i rekreditacije znanstvenog instituta te vrednovanje provedbe programskih ugovora .</w:t>
      </w:r>
      <w:r>
        <w:t xml:space="preserve"> U skladu s njim glavne su aktivnosti sljedeće: provođenje postupka inicijalne akreditacije, provođenje postupka reakreditacije, vrednovanje provedbe programskih ugovora, prikupljanje i obrađivanje podataka o sustavu znanosti i visokog obrazovanja u svrhu </w:t>
      </w:r>
      <w:r>
        <w:t>pružanja relevantnih informacija, statističkih pokazatelja i analiza potrebnih kao polazišta za utvrđivanje standarda, kriterija i donošenje ocjena u svim postupcima vrednovanja koje provodi Agencija te relevantnih informacija o stanju i učinkovitosti cjel</w:t>
      </w:r>
      <w:r>
        <w:t>okupnog sustava znanosti i visokog obrazovanja, pružanje informacija o uvjetima upisa na visoka učilišta u Republici Hrvatskoj i objedinjavanje podataka o ispunjavanju uvjeta za upis pristupnika na visoka učilišta na temelju kojih visoka učilišta vrše upis</w:t>
      </w:r>
      <w:r>
        <w:t xml:space="preserve">e na studijske programe, pružanje stručne podrške tijelima u sustavu visokog obrazovanja i znanosti itd.  </w:t>
      </w:r>
    </w:p>
    <w:p w:rsidR="00531863" w:rsidRDefault="000304DA">
      <w:r>
        <w:t xml:space="preserve">  </w:t>
      </w:r>
    </w:p>
    <w:p w:rsidR="00531863" w:rsidRDefault="000304DA">
      <w:r>
        <w:t>Glavni je cilj tih aktivnosti osigurati kvalitetu i relevantnost visokih učilišta, studija i znanstvenih organizacija u RH, potaknuti unaprjeđivan</w:t>
      </w:r>
      <w:r>
        <w:t>je i razvoj njihove kvalitete, bolje povezati obrazovnu ponudu s potrebama tržišta rada te znanost i gospodarstvo, osnaživati međunarodnu suradnju i prepoznatljivost hrvatskog sustava visokog obrazovanja i znanosti što će doprinijeti većoj kvaliteti, prepo</w:t>
      </w:r>
      <w:r>
        <w:t xml:space="preserve">znatljivosti i vjerodostojnosti hrvatskog sustava visokog obrazovanja i znanosti te imati pozitivan utjecaj na razvoj društva u cjelini. Sve navedeno je u skladu s nacionalnim i EU ciljevima i prioritetima za predstojeće razdoblje.     </w:t>
      </w:r>
    </w:p>
    <w:p w:rsidR="00531863" w:rsidRDefault="000304DA">
      <w:r>
        <w:t>Zakonom o osigurava</w:t>
      </w:r>
      <w:r>
        <w:t xml:space="preserve">nju kvalitete u znanosti i visokom obrazovanju te pratećim propisima definirani su jasni i objektivni postupci na temelju kojih će se vrednovati i ocjenjivati kvaliteta subjekata vrednovanja (tzv. vanjsko osiguravanje i unaprjeđivanje kvalitete) te obveza </w:t>
      </w:r>
      <w:r>
        <w:t>i odgovornost istih za učinkovitost i ostvarivanje kvalitetnih ishoda obrazovnih i znanstvenih aktivnosti (tzv. unutarnje unaprjeđivanje kvalitete).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2"/>
        <w:gridCol w:w="2042"/>
        <w:gridCol w:w="2042"/>
        <w:gridCol w:w="2042"/>
        <w:gridCol w:w="1224"/>
        <w:gridCol w:w="1224"/>
      </w:tblGrid>
      <w:tr w:rsidR="00531863">
        <w:trPr>
          <w:jc w:val="center"/>
        </w:trPr>
        <w:tc>
          <w:tcPr>
            <w:tcW w:w="1632" w:type="dxa"/>
            <w:shd w:val="clear" w:color="auto" w:fill="B5C0D8"/>
          </w:tcPr>
          <w:p w:rsidR="00531863" w:rsidRDefault="00531863">
            <w:pPr>
              <w:pStyle w:val="CellHeader"/>
              <w:jc w:val="center"/>
            </w:pP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</w:t>
            </w:r>
            <w:r>
              <w:rPr>
                <w:rFonts w:cs="Times New Roman"/>
              </w:rPr>
              <w:t>šenje 2025./2024.</w:t>
            </w:r>
          </w:p>
        </w:tc>
      </w:tr>
      <w:tr w:rsidR="00531863">
        <w:trPr>
          <w:jc w:val="center"/>
        </w:trPr>
        <w:tc>
          <w:tcPr>
            <w:tcW w:w="1632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38487-Agencija za znanost i visoko obrazovanje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4.473.069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6.726.692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5.605.180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83,3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125,3</w:t>
            </w:r>
          </w:p>
        </w:tc>
      </w:tr>
      <w:tr w:rsidR="00531863">
        <w:trPr>
          <w:jc w:val="center"/>
        </w:trPr>
        <w:tc>
          <w:tcPr>
            <w:tcW w:w="1632" w:type="dxa"/>
          </w:tcPr>
          <w:p w:rsidR="00531863" w:rsidRDefault="000304DA">
            <w:pPr>
              <w:jc w:val="left"/>
            </w:pPr>
            <w:r>
              <w:t>3705-VISOKO OBRAZOVANJE</w:t>
            </w:r>
          </w:p>
        </w:tc>
        <w:tc>
          <w:tcPr>
            <w:tcW w:w="2041" w:type="dxa"/>
          </w:tcPr>
          <w:p w:rsidR="00531863" w:rsidRDefault="000304DA">
            <w:pPr>
              <w:jc w:val="right"/>
            </w:pPr>
            <w:r>
              <w:t>4.473.069</w:t>
            </w:r>
          </w:p>
        </w:tc>
        <w:tc>
          <w:tcPr>
            <w:tcW w:w="2041" w:type="dxa"/>
          </w:tcPr>
          <w:p w:rsidR="00531863" w:rsidRDefault="000304DA">
            <w:pPr>
              <w:jc w:val="right"/>
            </w:pPr>
            <w:r>
              <w:t>6.726.692</w:t>
            </w:r>
          </w:p>
        </w:tc>
        <w:tc>
          <w:tcPr>
            <w:tcW w:w="2041" w:type="dxa"/>
          </w:tcPr>
          <w:p w:rsidR="00531863" w:rsidRDefault="000304DA">
            <w:pPr>
              <w:jc w:val="right"/>
            </w:pPr>
            <w:r>
              <w:t>5.605.180</w:t>
            </w:r>
          </w:p>
        </w:tc>
        <w:tc>
          <w:tcPr>
            <w:tcW w:w="1224" w:type="dxa"/>
          </w:tcPr>
          <w:p w:rsidR="00531863" w:rsidRDefault="000304DA">
            <w:pPr>
              <w:jc w:val="right"/>
            </w:pPr>
            <w:r>
              <w:t>83,3</w:t>
            </w:r>
          </w:p>
        </w:tc>
        <w:tc>
          <w:tcPr>
            <w:tcW w:w="1224" w:type="dxa"/>
          </w:tcPr>
          <w:p w:rsidR="00531863" w:rsidRDefault="000304DA">
            <w:pPr>
              <w:jc w:val="right"/>
            </w:pPr>
            <w:r>
              <w:t>125,3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3"/>
      </w:pPr>
      <w:r>
        <w:rPr>
          <w:rFonts w:cs="Times New Roman"/>
        </w:rPr>
        <w:t>3705 VISOKO OBRAZOVANJE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2"/>
        <w:gridCol w:w="2042"/>
        <w:gridCol w:w="2042"/>
        <w:gridCol w:w="2042"/>
        <w:gridCol w:w="1224"/>
        <w:gridCol w:w="1224"/>
      </w:tblGrid>
      <w:tr w:rsidR="00531863">
        <w:trPr>
          <w:jc w:val="center"/>
        </w:trPr>
        <w:tc>
          <w:tcPr>
            <w:tcW w:w="1632" w:type="dxa"/>
            <w:shd w:val="clear" w:color="auto" w:fill="B5C0D8"/>
          </w:tcPr>
          <w:p w:rsidR="00531863" w:rsidRDefault="00531863">
            <w:pPr>
              <w:pStyle w:val="CellHeader"/>
            </w:pP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Index izvršenje 2025./2024.</w:t>
            </w:r>
          </w:p>
        </w:tc>
      </w:tr>
      <w:tr w:rsidR="00531863">
        <w:trPr>
          <w:jc w:val="center"/>
        </w:trPr>
        <w:tc>
          <w:tcPr>
            <w:tcW w:w="1632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3705-VISOKO OBRAZOVANJE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4.473.069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6.726.692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5.605.180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83,3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125,3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8"/>
        <w:jc w:val="left"/>
      </w:pPr>
      <w:r>
        <w:t>Cilj 1. Unaprjeđenje kvalitete, relevantnosti, učinkovitosti i dostupnosti visokog obrazovanja</w:t>
      </w:r>
    </w:p>
    <w:p w:rsidR="00531863" w:rsidRDefault="000304DA">
      <w:pPr>
        <w:pStyle w:val="Heading8"/>
        <w:jc w:val="left"/>
      </w:pPr>
      <w:r>
        <w:t>Opis provedbe cilja programa</w:t>
      </w:r>
    </w:p>
    <w:p w:rsidR="00531863" w:rsidRDefault="000304DA">
      <w:pPr>
        <w:pStyle w:val="Heading8"/>
        <w:jc w:val="left"/>
      </w:pPr>
      <w:r>
        <w:t>Pokazatelji učinka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1020"/>
        <w:gridCol w:w="1020"/>
        <w:gridCol w:w="1020"/>
        <w:gridCol w:w="1020"/>
        <w:gridCol w:w="1020"/>
      </w:tblGrid>
      <w:tr w:rsidR="00531863">
        <w:trPr>
          <w:jc w:val="center"/>
        </w:trPr>
        <w:tc>
          <w:tcPr>
            <w:tcW w:w="2551" w:type="dxa"/>
            <w:shd w:val="clear" w:color="auto" w:fill="B5C0D8"/>
          </w:tcPr>
          <w:p w:rsidR="00531863" w:rsidRDefault="000304DA">
            <w:pPr>
              <w:jc w:val="center"/>
            </w:pPr>
            <w:r>
              <w:t>Pokazatelj učinka</w:t>
            </w:r>
          </w:p>
        </w:tc>
        <w:tc>
          <w:tcPr>
            <w:tcW w:w="255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(2025.)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Broj provedenih vanjskih vrednovanja u trećem ciklusu u skladu s ESG-jima i nacionalnim standardima kvalitete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Visoka učilišta i studijski programi koji su usklađeni s ESG-ima i nacionalnim standardima kvalitete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918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Godišnja izvješća AZVO-a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69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70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4"/>
      </w:pPr>
      <w:r>
        <w:t>A621155 ADMINISTRACIJA I UPRAVLJANJE AGENCIJE ZA ZNANOST I VISOKO OBRAZOVANJE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793"/>
        <w:gridCol w:w="1994"/>
        <w:gridCol w:w="1994"/>
        <w:gridCol w:w="1994"/>
        <w:gridCol w:w="1213"/>
        <w:gridCol w:w="1218"/>
      </w:tblGrid>
      <w:tr w:rsidR="00531863">
        <w:trPr>
          <w:jc w:val="center"/>
        </w:trPr>
        <w:tc>
          <w:tcPr>
            <w:tcW w:w="1632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531863">
        <w:trPr>
          <w:jc w:val="center"/>
        </w:trPr>
        <w:tc>
          <w:tcPr>
            <w:tcW w:w="1632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A621155-ADMINISTRACIJA I UPRAVLJANJE AGENCIJE ZA ZNANOST I VISOKO OBRAZOVANJE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2.857.072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3.478.471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3.317.599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95,4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116,1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8"/>
        <w:jc w:val="left"/>
      </w:pPr>
      <w:r>
        <w:t>Zakonske i druge pravne osnove</w:t>
      </w:r>
    </w:p>
    <w:p w:rsidR="00531863" w:rsidRDefault="000304DA">
      <w:r>
        <w:t xml:space="preserve">Zakon o plaćama u javnim službama, Zakon o osnovici plaće u javnim službama, Temeljni kolektivni ugovor </w:t>
      </w:r>
      <w:r>
        <w:t xml:space="preserve">za službenike i namještenike u javnim službama, Uredba o nazivima radnih mjesta i koeficijentima složenosti poslova u javnim službama, Zakon o osiguravanju kvalitete u znanosti i visokom obrazovanju, Zakon o visokom obrazovanju i  znanstvenoj djelatnosti, </w:t>
      </w:r>
      <w:r>
        <w:t>Zakon o priznavanju i vrednovanju inozemnih obrazovnih kvalifikacija, Zakon o proračunu, Zakon o izvršavanju Državnog proračuna Republike Hrvatske za 2025. godinu, Zakon o fiskalnoj odgovornosti, Zakon o porezu na dohodak</w:t>
      </w:r>
    </w:p>
    <w:p w:rsidR="00531863" w:rsidRDefault="000304DA">
      <w:pPr>
        <w:pStyle w:val="Heading8"/>
        <w:jc w:val="left"/>
      </w:pPr>
      <w:r>
        <w:t>Opis aktivnosti</w:t>
      </w:r>
    </w:p>
    <w:p w:rsidR="00531863" w:rsidRDefault="000304DA">
      <w:r>
        <w:t>Na aktivnosti osiguravaju se sredstva za pokriće plaća zaposlenika, ostalih rashoda za zaposlene (regres, božićnica, jubilarna nagrade te pomoći). Isto tako planirana su sredstva za pokriće materijalnih troškova - zakupnine i najamnine, intelektualne uslug</w:t>
      </w:r>
      <w:r>
        <w:t>e, naknade za prijevoz djelatnika, uredski materijal, usluge telefona i pošte te ostali materijalni rashodi.</w:t>
      </w:r>
    </w:p>
    <w:p w:rsidR="00531863" w:rsidRDefault="000304DA">
      <w:pPr>
        <w:pStyle w:val="Heading4"/>
      </w:pPr>
      <w:r>
        <w:t>A621182 ZBOR VELEUČILIŠTA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2"/>
        <w:gridCol w:w="2042"/>
        <w:gridCol w:w="2042"/>
        <w:gridCol w:w="2042"/>
        <w:gridCol w:w="1224"/>
        <w:gridCol w:w="1224"/>
      </w:tblGrid>
      <w:tr w:rsidR="00531863">
        <w:trPr>
          <w:jc w:val="center"/>
        </w:trPr>
        <w:tc>
          <w:tcPr>
            <w:tcW w:w="1632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</w:t>
            </w:r>
            <w:r>
              <w:rPr>
                <w:rFonts w:cs="Times New Roman"/>
              </w:rPr>
              <w:t>vršenje 2025./2024.</w:t>
            </w:r>
          </w:p>
        </w:tc>
      </w:tr>
      <w:tr w:rsidR="00531863">
        <w:trPr>
          <w:jc w:val="center"/>
        </w:trPr>
        <w:tc>
          <w:tcPr>
            <w:tcW w:w="1632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A621182-ZBOR VELEUČILIŠTA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38.695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55.014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51.887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94,3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134,1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8"/>
        <w:jc w:val="left"/>
      </w:pPr>
      <w:r>
        <w:t>Zakonske i druge pravne osnove</w:t>
      </w:r>
    </w:p>
    <w:p w:rsidR="00531863" w:rsidRDefault="000304DA">
      <w:r>
        <w:t>Članci 91. i 94. Zakona o visokom obrazovanju i znanstvenoj djelatnosti („Narodne novine“, broj 119/2022),  Odluka ZV-a, Poslovnik o radu ZV-a.</w:t>
      </w:r>
    </w:p>
    <w:p w:rsidR="00531863" w:rsidRDefault="000304DA">
      <w:pPr>
        <w:pStyle w:val="Heading8"/>
        <w:jc w:val="left"/>
      </w:pPr>
      <w:r>
        <w:t>Opis aktivnosti</w:t>
      </w:r>
    </w:p>
    <w:p w:rsidR="00531863" w:rsidRDefault="000304DA">
      <w:r>
        <w:t>U 2025. godini Agencija za znanost i visoko obrazovanje organizirala je pet redovitih sjednica Zbora veleučilišta te dvije sjednice Odbora javnih veleučilišta. Osim redovitih sjednica, u lipnju 2025. je u Kninu, na Veleučilištu „Marko Marul</w:t>
      </w:r>
      <w:r>
        <w:t xml:space="preserve">ić“, održana svečana sjednica Zbora veleučilišta na kojoj su dodijeljena priznanja i nagrade organizacijama i pojedincima koji su sustavno pridonosili razvoju veleučilišta te stručnih studija u Republici Hrvatskoj.  </w:t>
      </w:r>
    </w:p>
    <w:p w:rsidR="00531863" w:rsidRDefault="000304DA">
      <w:r>
        <w:t xml:space="preserve">   </w:t>
      </w:r>
    </w:p>
    <w:p w:rsidR="00531863" w:rsidRDefault="000304DA">
      <w:r>
        <w:t>U 2025. godini matična povjerenstva</w:t>
      </w:r>
      <w:r>
        <w:t xml:space="preserve"> su sukladno odredbama Zakona o visokom obrazovanju i znanstvenoj djelatnosti („Narodne novine“, br. 119/22) donijela 261 pozitivnih odluku u postupcima izbora na nastavna radna mjesta i u postupcima izbora naslovnih nastavnika te, sedam rješenja o obustav</w:t>
      </w:r>
      <w:r>
        <w:t>i postupka.</w:t>
      </w:r>
    </w:p>
    <w:p w:rsidR="00531863" w:rsidRDefault="000304DA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1020"/>
        <w:gridCol w:w="1020"/>
        <w:gridCol w:w="1020"/>
        <w:gridCol w:w="1020"/>
        <w:gridCol w:w="1020"/>
      </w:tblGrid>
      <w:tr w:rsidR="00531863">
        <w:trPr>
          <w:jc w:val="center"/>
        </w:trPr>
        <w:tc>
          <w:tcPr>
            <w:tcW w:w="2551" w:type="dxa"/>
            <w:shd w:val="clear" w:color="auto" w:fill="B5C0D8"/>
          </w:tcPr>
          <w:p w:rsidR="00531863" w:rsidRDefault="000304DA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(2025.)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Broj održanih sjednica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Sjednice ZV-a i njegovih tijela održavaju se s ciljem rješavanja različitih pitanja iz područja stručnoga visokog obrazovanja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84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75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4"/>
      </w:pPr>
      <w:r>
        <w:t>A621186 VREDNOVANJE ZNANSTVENIH ORGANIZACIJA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2"/>
        <w:gridCol w:w="2042"/>
        <w:gridCol w:w="2042"/>
        <w:gridCol w:w="2042"/>
        <w:gridCol w:w="1224"/>
        <w:gridCol w:w="1224"/>
      </w:tblGrid>
      <w:tr w:rsidR="00531863">
        <w:trPr>
          <w:jc w:val="center"/>
        </w:trPr>
        <w:tc>
          <w:tcPr>
            <w:tcW w:w="1632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531863">
        <w:trPr>
          <w:jc w:val="center"/>
        </w:trPr>
        <w:tc>
          <w:tcPr>
            <w:tcW w:w="1632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A621186-VREDNOVANJE ZNANSTVENIH ORGANIZACIJA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442.158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766.690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749.916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97,8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169,6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8"/>
        <w:jc w:val="left"/>
      </w:pPr>
      <w:r>
        <w:t>Zakonske i druge pravne osnove</w:t>
      </w:r>
    </w:p>
    <w:p w:rsidR="00531863" w:rsidRDefault="000304DA">
      <w:r>
        <w:t>Zakon o visokom obrazovanju i znanstvenoj djelatnosti (NN 119/22)</w:t>
      </w:r>
    </w:p>
    <w:p w:rsidR="00531863" w:rsidRDefault="000304DA">
      <w:pPr>
        <w:pStyle w:val="Heading8"/>
        <w:jc w:val="left"/>
      </w:pPr>
      <w:r>
        <w:t>Opis aktivnosti</w:t>
      </w:r>
    </w:p>
    <w:p w:rsidR="00531863" w:rsidRDefault="000304DA">
      <w:r>
        <w:t>U skladu sa Zakonom o visokom obrazovanju i znanstvenoj djelatnosti, Agencija provodi postupke inicijalne akreditacije i reakreditacije znanstvenog instituta, inicijalne akre</w:t>
      </w:r>
      <w:r>
        <w:t xml:space="preserve">ditacije doktorskog studija i online doktorskog studija te vrednovanje provedbe programskih ugovora.  </w:t>
      </w:r>
    </w:p>
    <w:p w:rsidR="00531863" w:rsidRDefault="000304DA">
      <w:r>
        <w:t>U 2025. godini Agencija je zaprimila dva zahtjeva za inicijalnu akreditaciju doktorskog studija te je provela dvije inicijalne akreditacije doktorskog st</w:t>
      </w:r>
      <w:r>
        <w:t xml:space="preserve">udija. Planirano je projektno financiranje za oba postupka.  </w:t>
      </w:r>
    </w:p>
    <w:p w:rsidR="00531863" w:rsidRDefault="000304DA">
      <w:r>
        <w:t>U 2025. godini Agencija nije pokrenula postupak reakreditacije znanstvenih instituta s obzirom na to da je u srpnju 2024. godine zaprimila prijedlog Ministarstva znanosti, obrazovanja i mladih u</w:t>
      </w:r>
      <w:r>
        <w:t xml:space="preserve"> kojem Ministarstvo predlaže Agenciji da u plan reakreditacije za 2025. godinu ne uključi znanstvene institute, “uzimajući u obzir vremenski okvir potreban za uspostavu informacijskog sustava za praćenje pokazatelja navedenih u programskim ugovorima, odnos</w:t>
      </w:r>
      <w:r>
        <w:t xml:space="preserve">no reakreditaciji i planiranu analizu u vezi preustroja javnih znanstvenih instituta, a koja je vezana uz postupak reakreditacije”. </w:t>
      </w:r>
    </w:p>
    <w:p w:rsidR="00531863" w:rsidRDefault="000304DA">
      <w:r>
        <w:t>Kada je riječ o vrednovanju provedbe programskih ugovora, Ministarstvo je u prosincu 2023. godine potpisalo programsko ugov</w:t>
      </w:r>
      <w:r>
        <w:t>ore s 25 javnih znanstvenih instituta te, sukladno s Uredbom o programskom financiranju visokih učilišta i javnih znanstvenih instituta u Republici Hrvatskoj planira u I. kvartalu 2026. godine dostaviti Agenciji izvješće javnih znanstvenih instituta o ostv</w:t>
      </w:r>
      <w:r>
        <w:t xml:space="preserve">arivanju ciljeva, razvojnih i izvedbenih aktivnosti i mjerljivih pokazatelja iz programskih ugovora na vrednovanje. Nakon toga vrednovanje provedbe programskog ugovora nakon dvije godine od njegova potpisivanja, provest će se tijekom 2026. godine. </w:t>
      </w:r>
    </w:p>
    <w:p w:rsidR="00531863" w:rsidRDefault="000304DA">
      <w:r>
        <w:t>U 2025.</w:t>
      </w:r>
      <w:r>
        <w:t xml:space="preserve"> godini Agencija nije zaprimila nijedan zahtjev za inicijalnom akreditacijom znanstvenog instituta.  </w:t>
      </w:r>
    </w:p>
    <w:p w:rsidR="00531863" w:rsidRDefault="000304DA">
      <w:r>
        <w:t>Na temelju Sporazuma između Agencije za znanost i visoko obrazovanje i Ministarstva znanosti, obrazovanja i mladih, tijekom 2025. godine Agencija je pruža</w:t>
      </w:r>
      <w:r>
        <w:t>la administrativnu i tehničku podršku radu 28 matičnih odbora. Za rad članova matičnih odbora isplaćene su naknade te putni troškovi, kada ih je bilo.</w:t>
      </w:r>
    </w:p>
    <w:p w:rsidR="00531863" w:rsidRDefault="000304DA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1020"/>
        <w:gridCol w:w="1020"/>
        <w:gridCol w:w="1020"/>
        <w:gridCol w:w="1020"/>
        <w:gridCol w:w="1020"/>
      </w:tblGrid>
      <w:tr w:rsidR="00531863">
        <w:trPr>
          <w:jc w:val="center"/>
        </w:trPr>
        <w:tc>
          <w:tcPr>
            <w:tcW w:w="2551" w:type="dxa"/>
            <w:shd w:val="clear" w:color="auto" w:fill="B5C0D8"/>
          </w:tcPr>
          <w:p w:rsidR="00531863" w:rsidRDefault="000304DA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 xml:space="preserve">Ciljana </w:t>
            </w:r>
            <w:r>
              <w:rPr>
                <w:rFonts w:cs="Times New Roman"/>
              </w:rPr>
              <w:t>vrijednost (2025.)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Broj provedenih inicijalnih akreditacija doktorskih studija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Inicijalna akreditacija doktorskog studija provodi se u skladu sa Zakonom u cilju osiguravanja i unaprjeđivanja kvalitete doktorskih studija.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7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Broj provedenih inicijalnih akreditacija znanstvenih instituta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Inicijalna akreditacija znanstvenih instituta provodi se u skladu sa Zakonom u cilju osiguravanja i unaprjeđivanja kvalitete znanstvenih instituta i sustava znanosti RH.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3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Broj provedenih reakreditacija znanstvenih instituta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Reakreditacija znanstvenih instituta provodi se u skladu sa Zakonom u cilju osiguravanja i unaprjeđivanja kvalitete znanstvenih instituta i sustava znanosti RH.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4"/>
      </w:pPr>
      <w:r>
        <w:t>A621187 VREDNOVAN</w:t>
      </w:r>
      <w:r>
        <w:t>JE VISOKIH UČILIŠTA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2"/>
        <w:gridCol w:w="2042"/>
        <w:gridCol w:w="2042"/>
        <w:gridCol w:w="2042"/>
        <w:gridCol w:w="1224"/>
        <w:gridCol w:w="1224"/>
      </w:tblGrid>
      <w:tr w:rsidR="00531863">
        <w:trPr>
          <w:jc w:val="center"/>
        </w:trPr>
        <w:tc>
          <w:tcPr>
            <w:tcW w:w="1632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531863">
        <w:trPr>
          <w:jc w:val="center"/>
        </w:trPr>
        <w:tc>
          <w:tcPr>
            <w:tcW w:w="1632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A621187-VREDNOVANJE VISOKIH UČILIŠTA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651.495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609.800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609.613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100,0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93,6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8"/>
        <w:jc w:val="left"/>
      </w:pPr>
      <w:r>
        <w:t>Zakonske i druge pravne osnove</w:t>
      </w:r>
    </w:p>
    <w:p w:rsidR="00531863" w:rsidRDefault="000304DA">
      <w:r>
        <w:t xml:space="preserve">Zakon o visokom obrazovanju i znanstvenoj djelatnosti (NN 119/22)  </w:t>
      </w:r>
    </w:p>
    <w:p w:rsidR="00531863" w:rsidRDefault="000304DA">
      <w:r>
        <w:t>Odluka o visini i načinu isplate naknada za rad predsjednika i članova stručnih povjerenstava u postupcima vanjskog vrednovanja; Zakon o osiguravanju kvalite</w:t>
      </w:r>
      <w:r>
        <w:t>te u znanosti i visokom obrazovanju, čl. 22. st. 1. – sva javna i privatna visoka učilišta i znanstvene organizacije.</w:t>
      </w:r>
    </w:p>
    <w:p w:rsidR="00531863" w:rsidRDefault="000304DA">
      <w:pPr>
        <w:pStyle w:val="Heading8"/>
        <w:jc w:val="left"/>
      </w:pPr>
      <w:r>
        <w:t>Opis aktivnosti</w:t>
      </w:r>
    </w:p>
    <w:p w:rsidR="00531863" w:rsidRDefault="000304DA">
      <w:r>
        <w:t>U skladu sa Zakonom, Agencija provodi postupke inicijalne akreditacije studija i visokih učilišta i reakreditacije visokih</w:t>
      </w:r>
      <w:r>
        <w:t xml:space="preserve"> učilišta. Reakreditacija visokog učilišta je obavezan postupak za sva visoka učilišta u petogodišnjim ciklusima i provodi se prema godišnjem Planu reakreditacije. U 2025. godini Agencija za znanost i visoko obrazovanje provela je postupak reakreditacije z</w:t>
      </w:r>
      <w:r>
        <w:t xml:space="preserve">a ukupno 30 visokih učilišta u skladu s Planom reakreditacije od kojih je 19 visokih učilišta financirano iz proračuna;  </w:t>
      </w:r>
    </w:p>
    <w:p w:rsidR="00531863" w:rsidRDefault="000304DA">
      <w:r>
        <w:t xml:space="preserve">1. Sveučilište u Zagrebu - Geodetski fakultet </w:t>
      </w:r>
    </w:p>
    <w:p w:rsidR="00531863" w:rsidRDefault="000304DA">
      <w:r>
        <w:t xml:space="preserve">2. Sveučilište u Zagrebu, Grafički fakultet </w:t>
      </w:r>
    </w:p>
    <w:p w:rsidR="00531863" w:rsidRDefault="000304DA">
      <w:r>
        <w:t>3. Sveučilište u Zagrebu Rudarsko-geološko</w:t>
      </w:r>
      <w:r>
        <w:t xml:space="preserve">-naftni fakultet </w:t>
      </w:r>
    </w:p>
    <w:p w:rsidR="00531863" w:rsidRDefault="000304DA">
      <w:r>
        <w:t xml:space="preserve">4. Sveučilište u Zagrebu Geotehnički fakultet </w:t>
      </w:r>
    </w:p>
    <w:p w:rsidR="00531863" w:rsidRDefault="000304DA">
      <w:r>
        <w:t xml:space="preserve">5. Sveučilište u Splitu, Pomorski fakultet </w:t>
      </w:r>
    </w:p>
    <w:p w:rsidR="00531863" w:rsidRDefault="000304DA">
      <w:r>
        <w:t xml:space="preserve">6. Sveučilište u Rijeci, Pomorski fakultet </w:t>
      </w:r>
    </w:p>
    <w:p w:rsidR="00531863" w:rsidRDefault="000304DA">
      <w:r>
        <w:t xml:space="preserve">7. Sveučilište Josipa Jurja Strossmayera u Osijeku, Građevinski i arhitektonski fakultet </w:t>
      </w:r>
    </w:p>
    <w:p w:rsidR="00531863" w:rsidRDefault="000304DA">
      <w:r>
        <w:t xml:space="preserve">Osijek </w:t>
      </w:r>
    </w:p>
    <w:p w:rsidR="00531863" w:rsidRDefault="000304DA">
      <w:r>
        <w:t>8. Sv</w:t>
      </w:r>
      <w:r>
        <w:t xml:space="preserve">eučilište Josipa Jurja Strossmayera u Osijeku, Ekonomski fakultet u Osijeku </w:t>
      </w:r>
    </w:p>
    <w:p w:rsidR="00531863" w:rsidRDefault="000304DA">
      <w:r>
        <w:t xml:space="preserve">9. RIT Croatia </w:t>
      </w:r>
    </w:p>
    <w:p w:rsidR="00531863" w:rsidRDefault="000304DA">
      <w:r>
        <w:t xml:space="preserve">10. Veleučilište u Šibeniku </w:t>
      </w:r>
    </w:p>
    <w:p w:rsidR="00531863" w:rsidRDefault="000304DA">
      <w:r>
        <w:t xml:space="preserve">11. Veleučilište Velika Gorica </w:t>
      </w:r>
    </w:p>
    <w:p w:rsidR="00531863" w:rsidRDefault="000304DA">
      <w:r>
        <w:t xml:space="preserve">12. Sveučilište u Zagrebu Fakultet šumarstva i drvne tehnologije </w:t>
      </w:r>
    </w:p>
    <w:p w:rsidR="00531863" w:rsidRDefault="000304DA">
      <w:r>
        <w:t xml:space="preserve">13. Veleučilište Lavoslav Ružička u </w:t>
      </w:r>
      <w:r>
        <w:t xml:space="preserve">Vukovaru </w:t>
      </w:r>
    </w:p>
    <w:p w:rsidR="00531863" w:rsidRDefault="000304DA">
      <w:r>
        <w:t xml:space="preserve">14. Veleučilište Marko Marulić </w:t>
      </w:r>
    </w:p>
    <w:p w:rsidR="00531863" w:rsidRDefault="000304DA">
      <w:r>
        <w:t xml:space="preserve">15. Sveučilište VERN </w:t>
      </w:r>
    </w:p>
    <w:p w:rsidR="00531863" w:rsidRDefault="000304DA">
      <w:r>
        <w:t xml:space="preserve">16. Veleučilište u Virovitici </w:t>
      </w:r>
    </w:p>
    <w:p w:rsidR="00531863" w:rsidRDefault="000304DA">
      <w:r>
        <w:t xml:space="preserve">17. Veleučilište Nikola Tesla u Gospiću </w:t>
      </w:r>
    </w:p>
    <w:p w:rsidR="00531863" w:rsidRDefault="000304DA">
      <w:r>
        <w:t xml:space="preserve">18. Zdravstveno veleučilište </w:t>
      </w:r>
    </w:p>
    <w:p w:rsidR="00531863" w:rsidRDefault="000304DA">
      <w:r>
        <w:t xml:space="preserve">19. Sveučilište Josipa Jurja Strossmayera u Osijeku, Fakultet za dentalnu medicinu i </w:t>
      </w:r>
    </w:p>
    <w:p w:rsidR="00531863" w:rsidRDefault="000304DA">
      <w:r>
        <w:t xml:space="preserve">zdravstvo Osijek. </w:t>
      </w:r>
    </w:p>
    <w:p w:rsidR="00531863" w:rsidRDefault="000304DA">
      <w:r>
        <w:t xml:space="preserve">Ostala postupke reakreditacije visokih učilišta ( 11 visokih učilišta) se financira iz projekta AZVOK. Dio troškova za postupke provedene u jesenskim mjesecima (14 postupaka) je plaćeno u 2026.  </w:t>
      </w:r>
    </w:p>
    <w:p w:rsidR="00531863" w:rsidRDefault="000304DA">
      <w:r>
        <w:t>U 2025. ukupno je zaprimljeno 53 zahtjeva</w:t>
      </w:r>
      <w:r>
        <w:t xml:space="preserve"> za pokretanjem postupka inicijalne akreditacije od čega je jedan dio zaprimljen u drugom dijelu godine te se fizički posjeti nisu mogli organizirati u 2025. Dio postupaka (15) je financirano preko projekta AZVOK, a dio troškova za vrednovanja koja su imal</w:t>
      </w:r>
      <w:r>
        <w:t>a fizičke posjete u jesenskim mjesecima je plaćen u 2026.</w:t>
      </w:r>
    </w:p>
    <w:p w:rsidR="00531863" w:rsidRDefault="000304DA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1020"/>
        <w:gridCol w:w="1020"/>
        <w:gridCol w:w="1020"/>
        <w:gridCol w:w="1020"/>
        <w:gridCol w:w="1020"/>
      </w:tblGrid>
      <w:tr w:rsidR="00531863">
        <w:trPr>
          <w:jc w:val="center"/>
        </w:trPr>
        <w:tc>
          <w:tcPr>
            <w:tcW w:w="2551" w:type="dxa"/>
            <w:shd w:val="clear" w:color="auto" w:fill="B5C0D8"/>
          </w:tcPr>
          <w:p w:rsidR="00531863" w:rsidRDefault="000304DA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(2025.)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Broj reakreditiranih visokih učilišta u drugom ciklusu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Reakreditacija visokih učilišta provodi se u skladu sa ZOK-om s ciljem osiguravanja i unaprjeđivanja kvalitete visokih učilišta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19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Broj inicijalnih akreditacija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Inicijalna akreditacija visokih učilišta i/ili studijskih programa provodi se u skladu sa ZOK-om s ciljem zaštite kvalitete novih visokih učilišta i studijskih programa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25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25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4"/>
      </w:pPr>
      <w:r>
        <w:t>A621191 PRAĆENJE ZAPOŠLJAVANJA DIPLOMIRANIH STUDENATA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749"/>
        <w:gridCol w:w="2009"/>
        <w:gridCol w:w="2002"/>
        <w:gridCol w:w="2009"/>
        <w:gridCol w:w="1217"/>
        <w:gridCol w:w="1220"/>
      </w:tblGrid>
      <w:tr w:rsidR="00531863">
        <w:trPr>
          <w:jc w:val="center"/>
        </w:trPr>
        <w:tc>
          <w:tcPr>
            <w:tcW w:w="1632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Naziv aktivno</w:t>
            </w:r>
            <w:r>
              <w:rPr>
                <w:rFonts w:cs="Times New Roman"/>
              </w:rPr>
              <w:t>sti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531863">
        <w:trPr>
          <w:jc w:val="center"/>
        </w:trPr>
        <w:tc>
          <w:tcPr>
            <w:tcW w:w="1632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A621191-PRAĆENJE ZAPOŠLJAVANJA DIPLOMIRANIH STUDENATA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20.356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5.150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2.869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55,7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14,1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8"/>
        <w:jc w:val="left"/>
      </w:pPr>
      <w:r>
        <w:t>Zakonske i druge pravne osnove</w:t>
      </w:r>
    </w:p>
    <w:p w:rsidR="00531863" w:rsidRDefault="000304DA">
      <w:r>
        <w:t>Zakon o osiguravanju kvalitete u visokom obrazovanju i znanosti, Zakon o Hrvatskom kvalifikacijskom okviru</w:t>
      </w:r>
    </w:p>
    <w:p w:rsidR="00531863" w:rsidRDefault="000304DA">
      <w:pPr>
        <w:pStyle w:val="Heading8"/>
        <w:jc w:val="left"/>
      </w:pPr>
      <w:r>
        <w:t>Opis aktivnosti</w:t>
      </w:r>
    </w:p>
    <w:p w:rsidR="00531863" w:rsidRDefault="000304DA">
      <w:r>
        <w:t>Sredstva za 2025. godinu utrošena su za provođenje anketiranja o zapošljivosti diplomiranih studenata i analizu podataka nakon proved</w:t>
      </w:r>
      <w:r>
        <w:t>enog anketnog istraživanja. Kontinuirano je potreban angažman vanjskih stručnjaka za obrazovanje i tržište rada koji pripremaju pitanja za upitnik te analiziraju podatke nakon provedenog anketnog istraživanja.</w:t>
      </w:r>
    </w:p>
    <w:p w:rsidR="00531863" w:rsidRDefault="000304DA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1020"/>
        <w:gridCol w:w="1020"/>
        <w:gridCol w:w="1020"/>
        <w:gridCol w:w="1020"/>
        <w:gridCol w:w="1020"/>
      </w:tblGrid>
      <w:tr w:rsidR="00531863">
        <w:trPr>
          <w:jc w:val="center"/>
        </w:trPr>
        <w:tc>
          <w:tcPr>
            <w:tcW w:w="2551" w:type="dxa"/>
            <w:shd w:val="clear" w:color="auto" w:fill="B5C0D8"/>
          </w:tcPr>
          <w:p w:rsidR="00531863" w:rsidRDefault="000304DA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Def</w:t>
            </w:r>
            <w:r>
              <w:rPr>
                <w:rFonts w:cs="Times New Roman"/>
              </w:rPr>
              <w:t>inicija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(2025.)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Izrađena analiza zapošljivosti diplomiranih studenata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Analiza zapošljivosti diplomiranih studenata provodi se s ciljem dobivanja informacija o zapošljivosti završenih studenata i relevantnosti studijskih programa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4"/>
      </w:pPr>
      <w:r>
        <w:t>A621192 TROŠKOVI SREDIŠNJEG PRIJAVNOG UREDA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2"/>
        <w:gridCol w:w="2042"/>
        <w:gridCol w:w="2042"/>
        <w:gridCol w:w="2042"/>
        <w:gridCol w:w="1224"/>
        <w:gridCol w:w="1224"/>
      </w:tblGrid>
      <w:tr w:rsidR="00531863">
        <w:trPr>
          <w:jc w:val="center"/>
        </w:trPr>
        <w:tc>
          <w:tcPr>
            <w:tcW w:w="1632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531863">
        <w:trPr>
          <w:jc w:val="center"/>
        </w:trPr>
        <w:tc>
          <w:tcPr>
            <w:tcW w:w="1632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A621192-TROŠKOVI SREDIŠNJEG PRIJAVNOG UREDA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44.464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50.000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43.844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87,7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98,6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8"/>
        <w:jc w:val="left"/>
      </w:pPr>
      <w:r>
        <w:t>Zakonske i druge pravne osnove</w:t>
      </w:r>
    </w:p>
    <w:p w:rsidR="00531863" w:rsidRDefault="000304DA">
      <w:r>
        <w:t>Zakon o osiguravanju kvalitete u visokom obrazovanju i znanost; Zakon o priznavanju i vrednovanju inozemnih obrazovnih kvalifikacija; Zakon o visokom obrazovanju i znanstvenoj djelatnosti</w:t>
      </w:r>
    </w:p>
    <w:p w:rsidR="00531863" w:rsidRDefault="000304DA">
      <w:pPr>
        <w:pStyle w:val="Heading8"/>
        <w:jc w:val="left"/>
      </w:pPr>
      <w:r>
        <w:t>Opis aktivnosti</w:t>
      </w:r>
    </w:p>
    <w:p w:rsidR="00531863" w:rsidRDefault="000304DA">
      <w:r>
        <w:t>U 2025. godini Središnji prijavni ured proveo je centraliziranu prijavu na studijske programe 175 visokih učilišta. Poslovi ureda odnose se na prijave za upis na prijediplomske i integrirane prijediplomske i diplomske studije putem Nacionalnog informacijsk</w:t>
      </w:r>
      <w:r>
        <w:t>og sustava prijava na visoka učilišta (NISpVU), prijave za upis na diplomske studije putem Nacionalnog informacijskog sustava prijava na diplomske studije (NISpDS), priznavanje inozemnih obrazovnih srednjoškolskih i prijediplomskih kvalifikacija u svrhu na</w:t>
      </w:r>
      <w:r>
        <w:t>stavka obrazovanja. U 2025. godini planirana sredstva utrošena su za administrativne troškove ureda, službena putovanja te stručna usavršavanja djelatnika.</w:t>
      </w:r>
    </w:p>
    <w:p w:rsidR="00531863" w:rsidRDefault="000304DA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1020"/>
        <w:gridCol w:w="1020"/>
        <w:gridCol w:w="1020"/>
        <w:gridCol w:w="1020"/>
        <w:gridCol w:w="1020"/>
      </w:tblGrid>
      <w:tr w:rsidR="00531863">
        <w:trPr>
          <w:jc w:val="center"/>
        </w:trPr>
        <w:tc>
          <w:tcPr>
            <w:tcW w:w="2551" w:type="dxa"/>
            <w:shd w:val="clear" w:color="auto" w:fill="B5C0D8"/>
          </w:tcPr>
          <w:p w:rsidR="00531863" w:rsidRDefault="000304DA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Cil</w:t>
            </w:r>
            <w:r>
              <w:rPr>
                <w:rFonts w:cs="Times New Roman"/>
              </w:rPr>
              <w:t>jana vrijednost (2025.)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Broj visokih učilišta koja provode centraliziranu prijavu studijskih programa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Centralizirana prijava programa provodi se s ciljem unaprjeđenja kvalitete i transparentnosti upisnog postupka na studije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201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201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175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4"/>
      </w:pPr>
      <w:r>
        <w:t>A867018 PRIMJENA HRVATSKOG KVALIFIKACIJSKOG OKVIRA U VISOKOM OBRAZOVANJU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026"/>
        <w:gridCol w:w="1929"/>
        <w:gridCol w:w="1912"/>
        <w:gridCol w:w="1929"/>
        <w:gridCol w:w="1200"/>
        <w:gridCol w:w="1210"/>
      </w:tblGrid>
      <w:tr w:rsidR="00531863">
        <w:trPr>
          <w:jc w:val="center"/>
        </w:trPr>
        <w:tc>
          <w:tcPr>
            <w:tcW w:w="1632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531863">
        <w:trPr>
          <w:jc w:val="center"/>
        </w:trPr>
        <w:tc>
          <w:tcPr>
            <w:tcW w:w="1632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A867018-PRIMJENA HRVATSKOG KVALIFIKACIJSKOG OKVIRA U VISOKOM OBRAZOVANJU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46.891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64.170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42.919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66,9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91,5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8"/>
        <w:jc w:val="left"/>
      </w:pPr>
      <w:r>
        <w:t>Zakonske i druge pravne osnove</w:t>
      </w:r>
    </w:p>
    <w:p w:rsidR="00531863" w:rsidRDefault="000304DA">
      <w:r>
        <w:t>Zakon o Hrvatskom kvalifikacijskom okviru pročišćeni tekst; Pravilnik o Registru Hrvatskog kvalifikacijskog okvira.</w:t>
      </w:r>
    </w:p>
    <w:p w:rsidR="00531863" w:rsidRDefault="000304DA">
      <w:pPr>
        <w:pStyle w:val="Heading8"/>
        <w:jc w:val="left"/>
      </w:pPr>
      <w:r>
        <w:t>Opis aktivnosti</w:t>
      </w:r>
    </w:p>
    <w:p w:rsidR="00531863" w:rsidRDefault="000304DA">
      <w:r>
        <w:t xml:space="preserve">Izmjenama i dopunama Zakona o Hrvatskom kvalifikacijskom okviru (NN 20/21), AZVO u 2021. godini preuzima značajne nove aktivnosti u pogledu primjene HKO-a u visokom obrazovanju koje znatno proširuju djelokrug rada AZVO-a.     </w:t>
      </w:r>
    </w:p>
    <w:p w:rsidR="00531863" w:rsidRDefault="000304DA">
      <w:r>
        <w:t xml:space="preserve">U okviru tih </w:t>
      </w:r>
      <w:r>
        <w:t>aktivnosti provodi se formalno i stručno vrednovanje prijedloga standarda kvalifikacija i prijedloga standarda skupova ishoda učenja na razini visokog obrazovanja za upis u Registar HKO-a. Također se provodi i provjera usklađenosti programa cjeloživotnog u</w:t>
      </w:r>
      <w:r>
        <w:t>čenja (za stjecanje mikrokvalifikacija) na razini visokog obrazovanja s Registrom HKO-a. Stručno vrednovanje svakog pojedinog zahtjeva za upis prijedloga standarda kvalifikacije u Registar HKO-a uključivalo je imenovanje stručnog povjerenstva u najmanjem s</w:t>
      </w:r>
      <w:r>
        <w:t xml:space="preserve">astavu od po tri nezavisna recenzenta koji su proveli stručno vrednovanje. AZVO je isplaćivao naknade za rad recenzentima te osiguravao uvjete za rad.    </w:t>
      </w:r>
    </w:p>
    <w:p w:rsidR="00531863" w:rsidRDefault="000304DA">
      <w:r>
        <w:t>AZVO je u 2025. godini, u okviru postupaka formalnog i stručnog vrednovanja zahtjeva za upis prijedlo</w:t>
      </w:r>
      <w:r>
        <w:t>ga standarda kvalifikacija i/ili standarda skupova ishoda učenja na razini visokog obrazovanja u Registar Hrvatskog kvalifikacijskog okvira (HKO) te donošenja odluke o upisu u Podregistar standarda kvalifikacija i Podregistar skupova ishoda učenja, osnovao</w:t>
      </w:r>
      <w:r>
        <w:t xml:space="preserve"> ukupno 7 stručnih povjerenstava (19 stručnjaka u različitim znanstvenim i stručnim područjima). Povjerenstva su vrednovala 16 zahtjeva za upis prijedloga standarda kvalifikacija i 50 zahtjeva za upis skupova ishoda učenja na razini visokog obrazovanja u R</w:t>
      </w:r>
      <w:r>
        <w:t xml:space="preserve">egistar HKO-a. U 2025. godini AZVO je u Registar HKO-a upisao 12 standarda kvalifikacija i 18 pojedinačnih skupova ishoda učenja na razini visokog obrazovanja.  </w:t>
      </w:r>
    </w:p>
    <w:p w:rsidR="00531863" w:rsidRDefault="000304DA">
      <w:r>
        <w:t>Agencija je, također, provela provjeru usklađenosti 40 programa cjeloživotnog učenja na razini</w:t>
      </w:r>
      <w:r>
        <w:t xml:space="preserve"> visokog obrazovanja (za stjecanje mikrokvalifikacija) s podacima iz Registra HKO-a te izdala 33 potvrde o usklađenosti, a za potrebe financiranja putem vaučera sredstvima iz Nacionalnog plana oporavka i otpornosti.  </w:t>
      </w:r>
    </w:p>
    <w:p w:rsidR="00531863" w:rsidRDefault="000304DA">
      <w:r>
        <w:t xml:space="preserve">  </w:t>
      </w:r>
    </w:p>
    <w:p w:rsidR="00531863" w:rsidRDefault="000304DA">
      <w:r>
        <w:t xml:space="preserve">Sektorska vijeća - podaci za 2025. </w:t>
      </w:r>
      <w:r>
        <w:t xml:space="preserve">godinu: </w:t>
      </w:r>
    </w:p>
    <w:p w:rsidR="00531863" w:rsidRDefault="000304DA">
      <w:r>
        <w:t>U 2025. godini sektorska vijeća iz nadležnosti AZVO-a (za sektore od XV. do XXV.) aktivno su provdila aktivnosti u skladu sa svojim planovima rada za 2025. godinu. Sveukupno je u 2025. godini održana je 41 sjednica sektorskih vijeća u virtualnom o</w:t>
      </w:r>
      <w:r>
        <w:t xml:space="preserve">kruženju i to:  </w:t>
      </w:r>
    </w:p>
    <w:p w:rsidR="00531863" w:rsidRDefault="000304DA">
      <w:r>
        <w:t>•</w:t>
      </w:r>
      <w:r>
        <w:tab/>
        <w:t xml:space="preserve">Sektorsko vijeće XV. Temeljne prirodne znanosti = 6 sjednica </w:t>
      </w:r>
    </w:p>
    <w:p w:rsidR="00531863" w:rsidRDefault="000304DA">
      <w:r>
        <w:t>•</w:t>
      </w:r>
      <w:r>
        <w:tab/>
        <w:t xml:space="preserve">Sektorsko vijeće XVI. Temeljne tehničke znanosti = 4 sjednice </w:t>
      </w:r>
    </w:p>
    <w:p w:rsidR="00531863" w:rsidRDefault="000304DA">
      <w:r>
        <w:t>•</w:t>
      </w:r>
      <w:r>
        <w:tab/>
        <w:t xml:space="preserve">Sektorsko vijeće XVII. Zrakoplovstvo, raketna i svemirska tehnika = 2 sjednice </w:t>
      </w:r>
    </w:p>
    <w:p w:rsidR="00531863" w:rsidRDefault="000304DA">
      <w:r>
        <w:t>•</w:t>
      </w:r>
      <w:r>
        <w:tab/>
        <w:t>Sektorsko vijeće XVIII. In</w:t>
      </w:r>
      <w:r>
        <w:t xml:space="preserve">formacije i komunikacije = 4 sjednice </w:t>
      </w:r>
    </w:p>
    <w:p w:rsidR="00531863" w:rsidRDefault="000304DA">
      <w:r>
        <w:t>•</w:t>
      </w:r>
      <w:r>
        <w:tab/>
        <w:t xml:space="preserve">Sektorsko vijeće XIX. Pravo, politologija, sociologija, državna uprava i javni poslovi = 4 sjednice </w:t>
      </w:r>
    </w:p>
    <w:p w:rsidR="00531863" w:rsidRDefault="000304DA">
      <w:r>
        <w:t>•</w:t>
      </w:r>
      <w:r>
        <w:tab/>
        <w:t xml:space="preserve">Sektorsko vijeće XX. Psihologija, edukacijska rehabilitacija, logopedija i socijalne djelatnosti = 1 sjednica </w:t>
      </w:r>
    </w:p>
    <w:p w:rsidR="00531863" w:rsidRDefault="000304DA">
      <w:r>
        <w:t>•</w:t>
      </w:r>
      <w:r>
        <w:tab/>
        <w:t xml:space="preserve">Sektorsko vijeće XXI. Odgoj, obrazovanje i sport = 6 sjednica </w:t>
      </w:r>
    </w:p>
    <w:p w:rsidR="00531863" w:rsidRDefault="000304DA">
      <w:r>
        <w:t>•</w:t>
      </w:r>
      <w:r>
        <w:tab/>
        <w:t xml:space="preserve">Sektorsko vijeće XXII. Filozofija, teologija i religijske znanosti =3 sjednice </w:t>
      </w:r>
    </w:p>
    <w:p w:rsidR="00531863" w:rsidRDefault="000304DA">
      <w:r>
        <w:t>•</w:t>
      </w:r>
      <w:r>
        <w:tab/>
        <w:t>Sektorsko vijeće XXIII. Povijest, znanost o umjetnosti, arheologija, etnologija i antropologija = 4 sjednice</w:t>
      </w:r>
      <w:r>
        <w:t xml:space="preserve"> </w:t>
      </w:r>
    </w:p>
    <w:p w:rsidR="00531863" w:rsidRDefault="000304DA">
      <w:r>
        <w:t>•</w:t>
      </w:r>
      <w:r>
        <w:tab/>
        <w:t xml:space="preserve">Sektorsko vijeće XXIV. Sigurnost i obrana = 4 sjednice </w:t>
      </w:r>
    </w:p>
    <w:p w:rsidR="00531863" w:rsidRDefault="000304DA">
      <w:r>
        <w:t>•</w:t>
      </w:r>
      <w:r>
        <w:tab/>
        <w:t xml:space="preserve">Sektorsko vijeće XXV. Filologija = 3 sjednice. </w:t>
      </w:r>
    </w:p>
    <w:p w:rsidR="00531863" w:rsidRDefault="000304DA">
      <w:r>
        <w:t>Sva navedena sektorska vijeća donijela su na traženje Ministarstva znanosti, obrazovanja i mladih prijedloge za reviziju postojećih i/ili donošenj</w:t>
      </w:r>
      <w:r>
        <w:t>e novi standarda zanimanja u svojim sektorima (prijedlog za nadopune i izmjene Nacionalne klasifikacije zanimanja – NKZ), kao i prijedloge za upisnu politiku za svoje sektore.</w:t>
      </w:r>
    </w:p>
    <w:p w:rsidR="00531863" w:rsidRDefault="000304DA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14"/>
        <w:gridCol w:w="2513"/>
        <w:gridCol w:w="1013"/>
        <w:gridCol w:w="1017"/>
        <w:gridCol w:w="1114"/>
        <w:gridCol w:w="1017"/>
        <w:gridCol w:w="1018"/>
      </w:tblGrid>
      <w:tr w:rsidR="00531863">
        <w:trPr>
          <w:jc w:val="center"/>
        </w:trPr>
        <w:tc>
          <w:tcPr>
            <w:tcW w:w="2551" w:type="dxa"/>
            <w:shd w:val="clear" w:color="auto" w:fill="B5C0D8"/>
          </w:tcPr>
          <w:p w:rsidR="00531863" w:rsidRDefault="000304DA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Polazna vrijednos</w:t>
            </w:r>
            <w:r>
              <w:rPr>
                <w:rFonts w:cs="Times New Roman"/>
              </w:rPr>
              <w:t>t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(2025.)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Broj održanih sjednica sektorskih vijeća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AZVO pruža podršku sektorskim vijećima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 godišnje izvješće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33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41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Broj vrednovanih standarada kvalifikacija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AZVO vrednuje standarde kvalifikacija u visokom obrazovanju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Upisani standardi kvalifikacija u Registru HKO-a, AZVO godišnje izvješće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50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12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4"/>
      </w:pPr>
      <w:r>
        <w:t>A867019 DIGITALNA PREOBRAZBA VISOKOG OBRAZOVANJA – e-SVEUČILIŠTA - NPOO (C3.1.R2)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2"/>
        <w:gridCol w:w="2042"/>
        <w:gridCol w:w="2042"/>
        <w:gridCol w:w="2042"/>
        <w:gridCol w:w="1224"/>
        <w:gridCol w:w="1224"/>
      </w:tblGrid>
      <w:tr w:rsidR="00531863">
        <w:trPr>
          <w:jc w:val="center"/>
        </w:trPr>
        <w:tc>
          <w:tcPr>
            <w:tcW w:w="1632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531863">
        <w:trPr>
          <w:jc w:val="center"/>
        </w:trPr>
        <w:tc>
          <w:tcPr>
            <w:tcW w:w="1632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A867019-DIGITALNA PREOBRAZBA VISOKOG OBRAZOVANJA – e-SVEUČILIŠTA - NPOO (C3.1.R2)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67.305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219.600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94.846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43,2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140,9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8"/>
        <w:jc w:val="left"/>
      </w:pPr>
      <w:r>
        <w:t>Zakonske i druge pravne osnove</w:t>
      </w:r>
    </w:p>
    <w:p w:rsidR="00531863" w:rsidRDefault="000304DA">
      <w:r>
        <w:t>Nacionalni plan oporavka i otpornosti RH 2021. – 2026.; Zakon o osiguravanju kvalitete u znanosti i visokom obrazovanju</w:t>
      </w:r>
    </w:p>
    <w:p w:rsidR="00531863" w:rsidRDefault="000304DA">
      <w:pPr>
        <w:pStyle w:val="Heading8"/>
        <w:jc w:val="left"/>
      </w:pPr>
      <w:r>
        <w:t>Opis aktivnosti</w:t>
      </w:r>
    </w:p>
    <w:p w:rsidR="00531863" w:rsidRDefault="000304DA">
      <w:r>
        <w:t>Cilj projekta je unaprjeđenje kvalitete i dostupnosti visokih učilišta, na cijelom području RH, osnaživanjem fleksibilnosti i inovativnosti tercijarnog sektora obrazovanja, kroz podršku učinkovitoj digitalnoj preobrazbi i povećanju digitalne zrelosti, foku</w:t>
      </w:r>
      <w:r>
        <w:t xml:space="preserve">siranim ulaganjima prema krajnjim korisnicima, javnim obrazovnim ustanovama u visokom obrazovanju, visokim učilištima i povezanim ciljanim skupinama.    </w:t>
      </w:r>
    </w:p>
    <w:p w:rsidR="00531863" w:rsidRDefault="000304DA">
      <w:r>
        <w:t>Posebni ciljevi projekta su: unaprjeđenje infrastrukture i repozitorija digitalnih sadržaja, izrada se</w:t>
      </w:r>
      <w:r>
        <w:t xml:space="preserve">rvisa poput aplikacija i alata podrške, obrazovanje korisnika (predstavnika visokih učilišta) te provedba vrednovanja digitalne zrelosti visokih učilišta.    </w:t>
      </w:r>
    </w:p>
    <w:p w:rsidR="00531863" w:rsidRDefault="000304DA">
      <w:r>
        <w:t>Nositelj projekta je Hrvatska akademska i istraživačka mreža – CARNET, a partneri Sveučilišni rač</w:t>
      </w:r>
      <w:r>
        <w:t xml:space="preserve">unski centar SRCE, Nacionalna i sveučilišna knjižnica i AZVO.    </w:t>
      </w:r>
    </w:p>
    <w:p w:rsidR="00531863" w:rsidRDefault="000304DA">
      <w:r>
        <w:t xml:space="preserve">Projekt traje od ožujka 2022. do kraja lipnja 2026.   </w:t>
      </w:r>
    </w:p>
    <w:p w:rsidR="00531863" w:rsidRDefault="000304DA">
      <w:r>
        <w:t>U okviru projekta, AZVO je zadužen za provedbu vrednovanja digitalne zrelosti na 10 % visokih učilišta uključenih u projekt za što je p</w:t>
      </w:r>
      <w:r>
        <w:t>lanirano 88.181 euro u posljednjoj godini provedbe projekta, odnosno u 2025.g. Nadalje, AZVO će sudjelovati u aktivnostima istraživanja (koordinacija istraživanja studijskih programa radi utvrđivanja zastupljenosti razvoja digitalnih kompetencija studenata</w:t>
      </w:r>
      <w:r>
        <w:t xml:space="preserve"> i sudjelovanje u kvantitativnom istraživanju o primjeni digitalne tehnologije u visokom obrazovanju) te u izradi modularnog programa obrazovanja visokoškolskih nastavnika za primjenu IKT-a u nastavi. Postupci vrednovanja digitalne zrelosti visokih učilišt</w:t>
      </w:r>
      <w:r>
        <w:t xml:space="preserve">a provedeni su na planiranih 11 visokih učilišta: </w:t>
      </w:r>
    </w:p>
    <w:p w:rsidR="00531863" w:rsidRDefault="000304DA">
      <w:r>
        <w:t>o</w:t>
      </w:r>
      <w:r>
        <w:tab/>
        <w:t xml:space="preserve">Sveučilište u Zagrebu, Fakultet elektrotehnike i računarstva </w:t>
      </w:r>
    </w:p>
    <w:p w:rsidR="00531863" w:rsidRDefault="000304DA">
      <w:r>
        <w:t>o</w:t>
      </w:r>
      <w:r>
        <w:tab/>
        <w:t xml:space="preserve">Sveučilište u Zagrebu, Fakultet organizacije i informatike </w:t>
      </w:r>
    </w:p>
    <w:p w:rsidR="00531863" w:rsidRDefault="000304DA">
      <w:r>
        <w:t>o</w:t>
      </w:r>
      <w:r>
        <w:tab/>
        <w:t xml:space="preserve">Sveučilište u Zagrebu, Veterinarski fakultet </w:t>
      </w:r>
    </w:p>
    <w:p w:rsidR="00531863" w:rsidRDefault="000304DA">
      <w:r>
        <w:t>o</w:t>
      </w:r>
      <w:r>
        <w:tab/>
        <w:t>Sveučilište u Zagrebu, Medici</w:t>
      </w:r>
      <w:r>
        <w:t xml:space="preserve">nski fakultet </w:t>
      </w:r>
    </w:p>
    <w:p w:rsidR="00531863" w:rsidRDefault="000304DA">
      <w:r>
        <w:t>o</w:t>
      </w:r>
      <w:r>
        <w:tab/>
        <w:t xml:space="preserve">Sveučilišta J. J. Strossmayera u Osijeku, Fakultet za odgojne i obrazovne znanosti </w:t>
      </w:r>
    </w:p>
    <w:p w:rsidR="00531863" w:rsidRDefault="000304DA">
      <w:r>
        <w:t>o</w:t>
      </w:r>
      <w:r>
        <w:tab/>
        <w:t xml:space="preserve">Sveučilišta J. J. Strossmayera u Osijeku, Građevinski i arhitektonski fakultet </w:t>
      </w:r>
    </w:p>
    <w:p w:rsidR="00531863" w:rsidRDefault="000304DA">
      <w:r>
        <w:t>o</w:t>
      </w:r>
      <w:r>
        <w:tab/>
        <w:t xml:space="preserve">Veleučilište u Virovitici </w:t>
      </w:r>
    </w:p>
    <w:p w:rsidR="00531863" w:rsidRDefault="000304DA">
      <w:r>
        <w:t>o</w:t>
      </w:r>
      <w:r>
        <w:tab/>
        <w:t xml:space="preserve">Sveučilište u Splitu, Filozofski fakultet </w:t>
      </w:r>
    </w:p>
    <w:p w:rsidR="00531863" w:rsidRDefault="000304DA">
      <w:r>
        <w:t>o</w:t>
      </w:r>
      <w:r>
        <w:tab/>
        <w:t xml:space="preserve">Sveučilište Jurja Dobrile u Puli </w:t>
      </w:r>
    </w:p>
    <w:p w:rsidR="00531863" w:rsidRDefault="000304DA">
      <w:r>
        <w:t>o</w:t>
      </w:r>
      <w:r>
        <w:tab/>
        <w:t xml:space="preserve">Sveučilište u Rijeci, Fakultet informatike i digitalnih tehnologija </w:t>
      </w:r>
    </w:p>
    <w:p w:rsidR="00531863" w:rsidRDefault="000304DA">
      <w:r>
        <w:t>o</w:t>
      </w:r>
      <w:r>
        <w:tab/>
        <w:t>Sveučilište u Rijeci, Medicinski fakultet</w:t>
      </w:r>
    </w:p>
    <w:p w:rsidR="00531863" w:rsidRDefault="000304DA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1020"/>
        <w:gridCol w:w="1020"/>
        <w:gridCol w:w="1020"/>
        <w:gridCol w:w="1020"/>
        <w:gridCol w:w="1020"/>
      </w:tblGrid>
      <w:tr w:rsidR="00531863">
        <w:trPr>
          <w:jc w:val="center"/>
        </w:trPr>
        <w:tc>
          <w:tcPr>
            <w:tcW w:w="2551" w:type="dxa"/>
            <w:shd w:val="clear" w:color="auto" w:fill="B5C0D8"/>
          </w:tcPr>
          <w:p w:rsidR="00531863" w:rsidRDefault="000304DA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Ciljana</w:t>
            </w:r>
            <w:r>
              <w:rPr>
                <w:rFonts w:cs="Times New Roman"/>
              </w:rPr>
              <w:t xml:space="preserve"> vrijednost (2025.)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Broj provedenih vrednovanja digitalne zrelosti visokih učilišta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Broj provedenih vrednovanja digitalne zrelosti visokih učilišta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%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11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4"/>
      </w:pPr>
      <w:r>
        <w:t>A867021 ERASMUS PLUS - PROJEKTI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2"/>
        <w:gridCol w:w="2042"/>
        <w:gridCol w:w="2042"/>
        <w:gridCol w:w="2042"/>
        <w:gridCol w:w="1224"/>
        <w:gridCol w:w="1224"/>
      </w:tblGrid>
      <w:tr w:rsidR="00531863">
        <w:trPr>
          <w:jc w:val="center"/>
        </w:trPr>
        <w:tc>
          <w:tcPr>
            <w:tcW w:w="1632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531863">
        <w:trPr>
          <w:jc w:val="center"/>
        </w:trPr>
        <w:tc>
          <w:tcPr>
            <w:tcW w:w="1632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A867021-ERASMUS PLUS - PROJEKTI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9.949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48.460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9.045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18,7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90,9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8"/>
        <w:jc w:val="left"/>
      </w:pPr>
      <w:r>
        <w:t>Zakonske i druge pravne osnove</w:t>
      </w:r>
    </w:p>
    <w:p w:rsidR="00531863" w:rsidRDefault="000304DA">
      <w:r>
        <w:t xml:space="preserve">Zakon o osiguravanju kvalitete u znanosti i visokom obrazovanju   </w:t>
      </w:r>
    </w:p>
    <w:p w:rsidR="00531863" w:rsidRDefault="000304DA">
      <w:r>
        <w:t xml:space="preserve">ERASMUS+ program Europske unije u kojem RH ravnopravno sudjeluje kao članica EU-a. Broj ugovora: 101101663 – MAReN – ERASMUS-EDU-2022-NARIC-IBA   </w:t>
      </w:r>
    </w:p>
    <w:p w:rsidR="00531863" w:rsidRDefault="000304DA">
      <w:r>
        <w:t>ERASMUS+ program Europske unije u kojem RH</w:t>
      </w:r>
      <w:r>
        <w:t xml:space="preserve"> ravnopravno sudjeluje kao članica EU-a. Broj ugovora: 101101701 – AR25-ERASMUS-EDU-2022-NARIC-IBA  </w:t>
      </w:r>
    </w:p>
    <w:p w:rsidR="00531863" w:rsidRDefault="000304DA">
      <w:r>
        <w:t>ERASMUS+ program Europske unije u kojem RH ravnopravno sudjeluje kao članica EU-a. Broj ugovora: 101128889 - ERASMUS-EDU-2023-CBHE-STRAND-3 SMEQA</w:t>
      </w:r>
    </w:p>
    <w:p w:rsidR="00531863" w:rsidRDefault="000304DA">
      <w:pPr>
        <w:pStyle w:val="Heading8"/>
        <w:jc w:val="left"/>
      </w:pPr>
      <w:r>
        <w:t>Opis akti</w:t>
      </w:r>
      <w:r>
        <w:t>vnosti</w:t>
      </w:r>
    </w:p>
    <w:p w:rsidR="00531863" w:rsidRDefault="000304DA">
      <w:r>
        <w:t>•</w:t>
      </w:r>
      <w:r>
        <w:tab/>
        <w:t xml:space="preserve">Projekt Mediterranean Automatic Recognition Network (MAReN). Glavni cilj projekta  </w:t>
      </w:r>
    </w:p>
    <w:p w:rsidR="00531863" w:rsidRDefault="000304DA">
      <w:r>
        <w:t>MAReN: Mediterranean Automatic Recognition Network je podržati i potaknuti postizanje ciljeva Europskog obrazovnog prostora, posebice provedbu Preporuke Vijeća Eur</w:t>
      </w:r>
      <w:r>
        <w:t xml:space="preserve">opske unije o promicanju automatskog priznavanja visokoškolskih i srednjoškolskih kvalifikacija te ishoda razdoblja učenja provedenog u inozemstvu. Opseg projekta MAReN uključuje poticanje automatskog priznavanja u mediteranskoj regiji, počevši od zemalja </w:t>
      </w:r>
      <w:r>
        <w:t>partnera projekta, stvaranjem mreže ENIC i NARIC centara koji rade na automatskom priznavanju u mediteranskoj regiji; razvoj alata za podršku svakodnevnom radu ocjenjivača mikro-vjerodajnica; uspostavljanje sinergije s drugim inicijativama vezanim uz autom</w:t>
      </w:r>
      <w:r>
        <w:t>atsko prepoznavanje u drugim regijama, osobito onim razvijenim u Adriatic regiji u okviru ERASMUS+ projekta AdReN. Tajništvo projekta MAReN-a osnovano je na Sveučilištu Federico II u Napulju. Svi rezultati projekta dostupni su na internetskoj stranici MARe</w:t>
      </w:r>
      <w:r>
        <w:t xml:space="preserve">N-a.   </w:t>
      </w:r>
    </w:p>
    <w:p w:rsidR="00531863" w:rsidRDefault="000304DA">
      <w:r>
        <w:t>Očekivani učinak koji se želi ostvariti projektom je uspostava automatskog priznavanja kvalifikacija među zemljama mediteranske regije kroz razvoj alata, poput usporedne tablice, koji su namijenjeni visokim učilištima i drugim dionicima. Drugi važa</w:t>
      </w:r>
      <w:r>
        <w:t xml:space="preserve">n aspekt ovog projekta je jačanje suradnje među NARIC centrima mediteranske regije te, zahvaljujući njihovom angažmanu, i među ministarstvima nadležnim za visoko obrazovanje partnerskih zemalja, što će biti olakšano uspostavom tajništva Mreže.   </w:t>
      </w:r>
    </w:p>
    <w:p w:rsidR="00531863" w:rsidRDefault="000304DA">
      <w:r>
        <w:t>Koordinat</w:t>
      </w:r>
      <w:r>
        <w:t xml:space="preserve">or projekta: ASSOCIAZIONE CIMEA (CIMEA), Italija   </w:t>
      </w:r>
    </w:p>
    <w:p w:rsidR="00531863" w:rsidRDefault="000304DA">
      <w:r>
        <w:t xml:space="preserve">Projektni partneri: AZVO, Hrvatska; FRANCE EDUCATION INTERNATIONAL (FEI), Francuska; MINISTERIO DA EDUCACAO E CIENCIA (MEC), Portugal; MINISTERIO DE UNIVERSIDADES (MUNI), Španjolska.   </w:t>
      </w:r>
    </w:p>
    <w:p w:rsidR="00531863" w:rsidRDefault="000304DA">
      <w:r>
        <w:t>Trajanje projekta:</w:t>
      </w:r>
      <w:r>
        <w:t xml:space="preserve"> veljača 2023. godine – siječanj 2025. godine.   </w:t>
      </w:r>
    </w:p>
    <w:p w:rsidR="00531863" w:rsidRDefault="000304DA">
      <w:r>
        <w:t>•</w:t>
      </w:r>
      <w:r>
        <w:tab/>
        <w:t xml:space="preserve">Projekt Automatic Recognition in the EEA, 2025 (AR25) – Automatsko priznavanje u  </w:t>
      </w:r>
    </w:p>
    <w:p w:rsidR="00531863" w:rsidRDefault="000304DA">
      <w:r>
        <w:t>Europskom gospodarskom prostoru, 2025. (AR25), financiran sredstvima ERASMUS+ programa Europske unije ima za cilj podržat</w:t>
      </w:r>
      <w:r>
        <w:t>i provedbu Preporuke Vijeća Europske unije o automatskom priznavanju i osigurati automatsko priznavanje razina inozemnih kvalifikacija do 2025. godine i to usklađivanjem institucionalnih postupaka priznavanja s načelima Lisabonske konvencije o uzajamnom pr</w:t>
      </w:r>
      <w:r>
        <w:t xml:space="preserve">iznavanju (LRC), zatim promicanjem Spotlight alata za samovrednovanje i pružanjem podrške budućem radu na priznavanju razdoblja studija u višem srednjem obrazovanju putem mapiranja nacionalnih praksi u priznavanju. Također, cilj projekta je identificirati </w:t>
      </w:r>
      <w:r>
        <w:t>izazove i područja za poboljšanje te raditi na izgradnji kapaciteta na visokim učilištima nužnih za provedbu vrednovanja mikro-vjerodajnica (microcredentials), uključujući automatsko prepoznavanje, kao i ažuriranje postojeće STACQ aplikacije i EAR – HEI pr</w:t>
      </w:r>
      <w:r>
        <w:t xml:space="preserve">iručnika, a kako bise racionalizirala praksa vrednovanja/prepoznavanja.   </w:t>
      </w:r>
    </w:p>
    <w:p w:rsidR="00531863" w:rsidRDefault="000304DA">
      <w:r>
        <w:t>Ciljne skupine su: visoka učilišta, ENIC i NARIC centri, dionici u priznavanje na području Europskog prostora visokog obrazovanja (EHEA) i EEA (agencije za osiguravanje kvalitete, r</w:t>
      </w:r>
      <w:r>
        <w:t xml:space="preserve">ektorske konferencije itd.), dionici koji se bave poticanjem akademske i radne mobilnosti u višem srednjoškolskom obrazovanju obrazovanje.   </w:t>
      </w:r>
    </w:p>
    <w:p w:rsidR="00531863" w:rsidRDefault="000304DA">
      <w:r>
        <w:t xml:space="preserve">Koordinator projekta je nizozemski ENIC/NARIC ured (NUFFIC).  </w:t>
      </w:r>
    </w:p>
    <w:p w:rsidR="00531863" w:rsidRDefault="000304DA">
      <w:r>
        <w:t>Partneri na projektu su: BUNDESMINISTERIUM FUER BIL</w:t>
      </w:r>
      <w:r>
        <w:t>DUNG, WISSENSCHAFT UND FORSCHUNG (BMBWF), Austrija; AGENCIJA ZA ZNANOST I VISOKO OBRAZOVANJE (AZVO), Hrvatska; UDDANNELSES-OG FORSKNINGSSTYRELSEN (DANISH AGENCY), Danska; EDUCATION AND YOUTH BOARD (Edu Youth Board), Estonija; FRANCE EDUCATION INTERNATIONAL</w:t>
      </w:r>
      <w:r>
        <w:t xml:space="preserve"> (FEI), Francuska; UDARAS NA HEIREANN UM CHAILIOCHTAIAGUS DEARBHU CAILIOCHTA (QQI), Irska; ASSOCIAZIONE CIMEA (CIMEA), Italija; STUDIJU KOKYBES VERTINIMO CENTRAS (SKVC), Litva; MALTA FURTHER AND HIGHER EDUCATIONAUTHORITY (MFHEA), Malta; NASJONALT ORGAN FOR</w:t>
      </w:r>
      <w:r>
        <w:t xml:space="preserve"> KVALITET I UTDANNINGEN NOKUT (NOKUT), Norveška; NARODOWA AGENCJA WYMIANY AKADEMICKIEJ (NAWA), Poljska; UNIVERSITETS- OCH HOGSKOLERADET (UHS), Švedska.   </w:t>
      </w:r>
    </w:p>
    <w:p w:rsidR="00531863" w:rsidRDefault="000304DA">
      <w:r>
        <w:t xml:space="preserve">Trajanje projekta: travanj 2023. godine – travanj 2025. godine.  </w:t>
      </w:r>
    </w:p>
    <w:p w:rsidR="00531863" w:rsidRDefault="000304DA">
      <w:r>
        <w:t xml:space="preserve">  </w:t>
      </w:r>
    </w:p>
    <w:p w:rsidR="00531863" w:rsidRDefault="000304DA">
      <w:r>
        <w:t>•</w:t>
      </w:r>
      <w:r>
        <w:tab/>
        <w:t>Projekt Strengthening Capaciti</w:t>
      </w:r>
      <w:r>
        <w:t xml:space="preserve">es and Mechanisms for Enhancement of Quality Assurance </w:t>
      </w:r>
    </w:p>
    <w:p w:rsidR="00531863" w:rsidRDefault="000304DA">
      <w:r>
        <w:t>System in Higher Education in Bosnia and Herzegovina (SMEQA). Polazište za projekt SMEQA financiran iz ERASMUS+ programa temelji se na potrebi bosanskohercegovačkog društva za rješavanjem pitanja akre</w:t>
      </w:r>
      <w:r>
        <w:t>ditacije studijskih programa, unapređenja sustava osiguravanja kvalitete visokog obrazovanja i izgradnje kapaciteta na svim institucijama u BiH za buduće postupke akreditacije. Projektne aktivnosti su usmjerene na institucionalno jačanje mehanizama akredit</w:t>
      </w:r>
      <w:r>
        <w:t>acije, harmonizaciju procesa u BiH i sustavnu implementaciju Standarda i smjernica za osiguravanje kvalitete u Europskom prostoru visokog obrazovanja (ESG). Rezultati projekta trebaju osigurati detaljnu analizu trenutnog stanja u BiH, jačanje kapaciteta ag</w:t>
      </w:r>
      <w:r>
        <w:t>encija, ministarstava i visokih učilišta razvojem, poboljšanjem i implementacijom postupaka vanjskog osiguravanja kvalitete u visokom obrazovanju (akreditacije). Cilj je, također, uspostaviti mehanizme harmonizacije sustava osiguravanja kvalitete u visokom</w:t>
      </w:r>
      <w:r>
        <w:t xml:space="preserve"> obrazovanju u BiH, izraditi preporuke za reguliranje postupka unutarnjeg osiguravanja kvalitete te uspostaviti edukacije za recenzente u postupcima akreditacije.  </w:t>
      </w:r>
    </w:p>
    <w:p w:rsidR="00531863" w:rsidRDefault="000304DA">
      <w:r>
        <w:t xml:space="preserve">Koordinator projekta je Univerzitet u Zenici, a korisnici su sedam visokih učilišta u BiH, ministarstva te dvije agencije za osiguravanje kvalitete u visokom obrazovanju.  </w:t>
      </w:r>
    </w:p>
    <w:p w:rsidR="00531863" w:rsidRDefault="000304DA">
      <w:r>
        <w:t>Partneri iz Europske unije su Sveučilište u Ljubljani, Sveučilište u Splitu, Agenci</w:t>
      </w:r>
      <w:r>
        <w:t xml:space="preserve">ja za znanost i visoko obrazovanje (AZVO) i Slovenska agencija za osiguravanje kvalitete visokog obrazovanja (NAKVIS).   </w:t>
      </w:r>
    </w:p>
    <w:p w:rsidR="00531863" w:rsidRDefault="000304DA">
      <w:r>
        <w:t xml:space="preserve">Projekt je započeo 1. siječnja 2024. godine i trajat će 36 mjeseci. </w:t>
      </w:r>
    </w:p>
    <w:p w:rsidR="00531863" w:rsidRDefault="000304DA">
      <w:r>
        <w:t xml:space="preserve"> </w:t>
      </w:r>
    </w:p>
    <w:p w:rsidR="00531863" w:rsidRDefault="000304DA">
      <w:r>
        <w:t>•</w:t>
      </w:r>
      <w:r>
        <w:tab/>
        <w:t>Road to Automatic Recognition of Higher Education Access Qual</w:t>
      </w:r>
      <w:r>
        <w:t xml:space="preserve">ifications 2 </w:t>
      </w:r>
    </w:p>
    <w:p w:rsidR="00531863" w:rsidRDefault="000304DA">
      <w:r>
        <w:t xml:space="preserve">(ARAQUA2) – slobodan prijevod: Put do automatskog priznavanja kvalifikacija za pristup visokom obrazovanju 2 </w:t>
      </w:r>
    </w:p>
    <w:p w:rsidR="00531863" w:rsidRDefault="000304DA">
      <w:r>
        <w:t>Opći cilj: proširiti istraživanje kvalifikacija za pristup visokom obrazovanju (VO) u partnerskim zemljama projekta, kako bi se mapi</w:t>
      </w:r>
      <w:r>
        <w:t xml:space="preserve">rale te kvalifikacije za automatsko priznavanje te proširila upotreba preporuka o automatskom priznavanju razvijenih u okviru projekta ARAQUA </w:t>
      </w:r>
    </w:p>
    <w:p w:rsidR="00531863" w:rsidRDefault="000304DA">
      <w:r>
        <w:t xml:space="preserve">Specifični ciljevi:  </w:t>
      </w:r>
    </w:p>
    <w:p w:rsidR="00531863" w:rsidRDefault="000304DA">
      <w:r>
        <w:t>•</w:t>
      </w:r>
      <w:r>
        <w:tab/>
        <w:t>mapirati kvalifikacije za pristup visokom obrazovanju u partnerskim zemljama projekta pre</w:t>
      </w:r>
      <w:r>
        <w:t xml:space="preserve">ma kriterijima postavljenima u projektu ARAQUA kako bi se procijenila njihova usklađenost s načelima automatskog priznavanja; </w:t>
      </w:r>
    </w:p>
    <w:p w:rsidR="00531863" w:rsidRDefault="000304DA">
      <w:r>
        <w:t>•</w:t>
      </w:r>
      <w:r>
        <w:tab/>
        <w:t xml:space="preserve">poticati primjenu preporuka i istražiti druge alate ili projekte koji mogu podržati praktičnu provedbu automatskog priznavanja </w:t>
      </w:r>
      <w:r>
        <w:t xml:space="preserve">kvalifikacija za pristup visokom obrazovanju; </w:t>
      </w:r>
    </w:p>
    <w:p w:rsidR="00531863" w:rsidRDefault="000304DA">
      <w:r>
        <w:t>•</w:t>
      </w:r>
      <w:r>
        <w:tab/>
        <w:t xml:space="preserve">pojačati raspravu među uredima ENIC/NARIC i visokim učilištima o praktičnoj provedbi automatskog priznavanja kvalifikacija za pristup visokom obrazovanju. </w:t>
      </w:r>
    </w:p>
    <w:p w:rsidR="00531863" w:rsidRDefault="000304DA">
      <w:r>
        <w:t>Zakonska osnova: Call/Javni poziv: ERASMUS-EDU-2024</w:t>
      </w:r>
      <w:r>
        <w:t xml:space="preserve">-EHEA-NARIC </w:t>
      </w:r>
    </w:p>
    <w:p w:rsidR="00531863" w:rsidRDefault="000304DA">
      <w:r>
        <w:t xml:space="preserve">Trajanje ugovora: 24 mjeseca (početak projekta: 1. 8. 2025.) </w:t>
      </w:r>
    </w:p>
    <w:p w:rsidR="00531863" w:rsidRDefault="000304DA">
      <w:r>
        <w:t xml:space="preserve">Projektni koordinator: AKADEMISKAS INFORMACIJAS CENTRS (AIC), Latvija </w:t>
      </w:r>
    </w:p>
    <w:p w:rsidR="00531863" w:rsidRDefault="000304DA">
      <w:r>
        <w:t xml:space="preserve">Projektni konzorcij: NATIONAL INFORMATION CENTER FOR ACADEMIC RECOGNITION AND MOBILITY, Armenija, CENTAR ZA INFORMIRANJE I PRIZNAVANJE DOKUMENATA IZ PODRUČJA VISOKOG OBRAZOVANJA, Bosna i Hercegovina, UDDANNELSES-OG, Danska, NATIONAL CENTER FOR EDUCATIONAL </w:t>
      </w:r>
      <w:r>
        <w:t>QUALITY ENHANCEMENT (NCEQE), Gruzija, AGENCIJA ZA ZNANOST I VISOKO OBRAZOVANJE (AZVO), Hrvatska, ASSOCIAZIONE CIMEA (CIMEA), Italija, REPUBLICAN STATE ENTERPRISE ON THERIGHT OF ECONOMIC MANAGEMENT HIGHERE DUCATION DEVELOPMENT NATIONAL CENTER OF THE MINISTR</w:t>
      </w:r>
      <w:r>
        <w:t>Y OF SCIENCE AND HIGHER EDUCATION OF THE REPUBLIC OF KAZAKHSTAN (HEDNC), Kazahstan, MALTA FURTHER AND HIGHER EDUCATIONAUTHORITY (MFHEA), Malta, QUALIFICATIONS AGENCY (QA) Srbija, ECCTIS LIMITED (UK ENIC), Ujedinjena Kraljevina Velike Britanije i Sjeverne I</w:t>
      </w:r>
      <w:r>
        <w:t xml:space="preserve">rske. </w:t>
      </w:r>
    </w:p>
    <w:p w:rsidR="00531863" w:rsidRDefault="000304DA">
      <w:r>
        <w:t xml:space="preserve"> </w:t>
      </w:r>
    </w:p>
    <w:p w:rsidR="00531863" w:rsidRDefault="000304DA">
      <w:r>
        <w:t xml:space="preserve">  </w:t>
      </w:r>
    </w:p>
    <w:p w:rsidR="00531863" w:rsidRDefault="000304DA">
      <w:r>
        <w:t>•</w:t>
      </w:r>
      <w:r>
        <w:tab/>
        <w:t xml:space="preserve">Automatic Recognition in the EEA, 2030 (AR2030) – slobodan prijevod: Automatsko  </w:t>
      </w:r>
    </w:p>
    <w:p w:rsidR="00531863" w:rsidRDefault="000304DA">
      <w:r>
        <w:t xml:space="preserve">priznavanje u EEA </w:t>
      </w:r>
    </w:p>
    <w:p w:rsidR="00531863" w:rsidRDefault="000304DA">
      <w:r>
        <w:t>Opći cilj: rješavanje ključnih nedostataka kako bi se postiglo automatsko priznavanje unutar Europskog gospodarskog prostora, u skladu s Prep</w:t>
      </w:r>
      <w:r>
        <w:t xml:space="preserve">orukom Vijeća iz 2018. godine. </w:t>
      </w:r>
    </w:p>
    <w:p w:rsidR="00531863" w:rsidRDefault="000304DA">
      <w:r>
        <w:t xml:space="preserve">Specifični ciljevi:  </w:t>
      </w:r>
    </w:p>
    <w:p w:rsidR="00531863" w:rsidRDefault="000304DA">
      <w:r>
        <w:t>•</w:t>
      </w:r>
      <w:r>
        <w:tab/>
        <w:t xml:space="preserve">ojačati institucionalne prakse priznavanja kroz kontinuiranu primjenu alata Spotlight i mreža nacionalnih ureda za upise u Europi; </w:t>
      </w:r>
    </w:p>
    <w:p w:rsidR="00531863" w:rsidRDefault="000304DA">
      <w:r>
        <w:t>•</w:t>
      </w:r>
      <w:r>
        <w:tab/>
        <w:t>promicati zajedničko razumijevanje i provedbu automatskog priznava</w:t>
      </w:r>
      <w:r>
        <w:t xml:space="preserve">nja putem tablice kvalifikacija Europskog prostora visokog obrazovanja (EHEA); </w:t>
      </w:r>
    </w:p>
    <w:p w:rsidR="00531863" w:rsidRDefault="000304DA">
      <w:r>
        <w:t>•</w:t>
      </w:r>
      <w:r>
        <w:tab/>
        <w:t xml:space="preserve">učinkovitije uskladiti prakse priznavanja unutar EGP-a prevođenjem priručnika EAR-HEI; </w:t>
      </w:r>
    </w:p>
    <w:p w:rsidR="00531863" w:rsidRDefault="000304DA">
      <w:r>
        <w:t>•</w:t>
      </w:r>
      <w:r>
        <w:tab/>
        <w:t>omogućiti fleksibilne obrazovne putove u visokom obrazovanju nadogradnjom alata za v</w:t>
      </w:r>
      <w:r>
        <w:t xml:space="preserve">rednovanje mikrokvalifikacija; </w:t>
      </w:r>
    </w:p>
    <w:p w:rsidR="00531863" w:rsidRDefault="000304DA">
      <w:r>
        <w:t>•</w:t>
      </w:r>
      <w:r>
        <w:tab/>
        <w:t xml:space="preserve">poticati razmjenu znanja među ENIC-NARIC centrima kako bi se osiguralo učinkovito, održivo i kvalitetno priznavanje unutar EGP-a; </w:t>
      </w:r>
    </w:p>
    <w:p w:rsidR="00531863" w:rsidRDefault="000304DA">
      <w:r>
        <w:t>•</w:t>
      </w:r>
      <w:r>
        <w:tab/>
        <w:t>doprinijeti globalnim praksama priznavanja kroz zbirku primjera dobre prakse za nacionaln</w:t>
      </w:r>
      <w:r>
        <w:t xml:space="preserve">e informacijske centre, uz podršku UNESCO-ve Globalne konvencije i regionalnih konvencija (npr. Lisabonske konvencije - LRC). </w:t>
      </w:r>
    </w:p>
    <w:p w:rsidR="00531863" w:rsidRDefault="000304DA">
      <w:r>
        <w:t xml:space="preserve">Zakonska osnova: Call/Javni poziv: ERASMUS-EDU-2024-EHEA-NARIC </w:t>
      </w:r>
    </w:p>
    <w:p w:rsidR="00531863" w:rsidRDefault="000304DA">
      <w:r>
        <w:t xml:space="preserve">Trajanje projekta: 24 mjeseca </w:t>
      </w:r>
    </w:p>
    <w:p w:rsidR="00531863" w:rsidRDefault="000304DA">
      <w:r>
        <w:t xml:space="preserve">Početak: 23. lipnja 2025. godine </w:t>
      </w:r>
    </w:p>
    <w:p w:rsidR="00531863" w:rsidRDefault="000304DA">
      <w:r>
        <w:t xml:space="preserve">Projektni koordinator: Nizozemski ENIC/NARIC ured (NUFFIC) </w:t>
      </w:r>
    </w:p>
    <w:p w:rsidR="00531863" w:rsidRDefault="000304DA">
      <w:r>
        <w:t>Projektni tim: Nizozemski ENIC/NARIC ured – NUFFIC (koordinator), Talijanski ENIC-NARIC – CIMEA (partner), Francuski ENIC-NARIC – FEI (partner), Litavski ENIC-NARIC – SKVC (partner), Poljski ENIC-</w:t>
      </w:r>
      <w:r>
        <w:t>NARIC – NAWA (partner), Irski ENIC-NARIC – QQI (partner), Danski ENIC-NARIC – UFM (partner), Norveški ENIC-NARIC – HR-Dir (partner), Malteški ENIC-NARIC – MFHEA (pridruženi partner), Hrvatski ENIC-NARIC (pridruženi partner), Austrijski ENIC-NARIC – BMBWF (</w:t>
      </w:r>
      <w:r>
        <w:t xml:space="preserve">pridruženi partner), Ukrajinski ENIC – ENIC Ukraine (partner), Britanski ENIC – UK NARIC (pridruženi partner), Europsko sveučilišno udruženje – EUA (partner) i Europsko udruženje sveučilišta za nastavu na daljinu – EADTU (pridruženi partner). </w:t>
      </w:r>
    </w:p>
    <w:p w:rsidR="00531863" w:rsidRDefault="000304DA">
      <w:r>
        <w:t xml:space="preserve"> </w:t>
      </w:r>
    </w:p>
    <w:p w:rsidR="00531863" w:rsidRDefault="000304DA">
      <w:r>
        <w:t xml:space="preserve">  </w:t>
      </w:r>
    </w:p>
    <w:p w:rsidR="00531863" w:rsidRDefault="000304DA">
      <w:r>
        <w:t>•</w:t>
      </w:r>
      <w:r>
        <w:tab/>
        <w:t>Suppo</w:t>
      </w:r>
      <w:r>
        <w:t xml:space="preserve">rting verification of authenticity through AI technologies (Verif-AI) – slobodan  </w:t>
      </w:r>
    </w:p>
    <w:p w:rsidR="00531863" w:rsidRDefault="000304DA">
      <w:r>
        <w:t xml:space="preserve">prijevod: Podrška provjeri vjerodostojnosti putem AI tehnologije (umjetne inteligencije) </w:t>
      </w:r>
    </w:p>
    <w:p w:rsidR="00531863" w:rsidRDefault="000304DA">
      <w:r>
        <w:t xml:space="preserve">Opći cilj: podrška provjeri vjerodostojnosti inozemnih kvalifikacija putem umjetne </w:t>
      </w:r>
      <w:r>
        <w:t xml:space="preserve">inteligencije u cilju pružanja podrške provedbi automatskog priznavanja razina inozemnih kvalifikacija. </w:t>
      </w:r>
    </w:p>
    <w:p w:rsidR="00531863" w:rsidRDefault="000304DA">
      <w:r>
        <w:t xml:space="preserve">Specifični ciljevi:  </w:t>
      </w:r>
    </w:p>
    <w:p w:rsidR="00531863" w:rsidRDefault="000304DA">
      <w:r>
        <w:t>•</w:t>
      </w:r>
      <w:r>
        <w:tab/>
        <w:t>kako bi se odgovorilo na nedostatke identificirane u izvješću Europske komisije Vijeću o provedbi Preporuke Vijeća iz 2018. o a</w:t>
      </w:r>
      <w:r>
        <w:t xml:space="preserve">utomatskom priznavanju, projekt će istražiti implikacije moguće uporabe umjetne inteligencije (AI) u postupku priznavanja kroz izradu bijele knjige koja će sadržavati preporuke i smjernice s posebnim naglaskom na četiri dimenzije: </w:t>
      </w:r>
    </w:p>
    <w:p w:rsidR="00531863" w:rsidRDefault="000304DA">
      <w:r>
        <w:t>•</w:t>
      </w:r>
      <w:r>
        <w:tab/>
        <w:t>regulatorni okvir na m</w:t>
      </w:r>
      <w:r>
        <w:t xml:space="preserve">eđunarodnoj razini, </w:t>
      </w:r>
    </w:p>
    <w:p w:rsidR="00531863" w:rsidRDefault="000304DA">
      <w:r>
        <w:t>•</w:t>
      </w:r>
      <w:r>
        <w:tab/>
        <w:t xml:space="preserve">pitanja pravednosti i etičke implikacije, </w:t>
      </w:r>
    </w:p>
    <w:p w:rsidR="00531863" w:rsidRDefault="000304DA">
      <w:r>
        <w:t>•</w:t>
      </w:r>
      <w:r>
        <w:tab/>
        <w:t xml:space="preserve">vrednovanje kvalifikacija, </w:t>
      </w:r>
    </w:p>
    <w:p w:rsidR="00531863" w:rsidRDefault="000304DA">
      <w:r>
        <w:t>•</w:t>
      </w:r>
      <w:r>
        <w:tab/>
        <w:t xml:space="preserve">provjera autentičnosti. </w:t>
      </w:r>
    </w:p>
    <w:p w:rsidR="00531863" w:rsidRDefault="000304DA">
      <w:r>
        <w:t xml:space="preserve">Zakonska osnova: Call/Javni poziv: ERASMUS-EDU-2024-EHEA-NARIC </w:t>
      </w:r>
    </w:p>
    <w:p w:rsidR="00531863" w:rsidRDefault="000304DA">
      <w:r>
        <w:t xml:space="preserve">Trajanje ugovora: 24 mjeseca (početak projekta: 1. 7. 2025.) </w:t>
      </w:r>
    </w:p>
    <w:p w:rsidR="00531863" w:rsidRDefault="000304DA">
      <w:r>
        <w:t>Projekt</w:t>
      </w:r>
      <w:r>
        <w:t xml:space="preserve">ni koordinator: ASSOCIAZIONE CIMEA, Italija </w:t>
      </w:r>
    </w:p>
    <w:p w:rsidR="00531863" w:rsidRDefault="000304DA">
      <w:r>
        <w:t>Projektni konzorcij: NEW ZEALAND QUALIFICATIONS AUTHORITY (NZQA), Novi Zeland, AGENCIJA ZA ZNANOST I VISOKO OBRAZOVANJE (AZVO), Hrvatska, UDARAS NA HEIREANN UM CHAILIOCHTAIAGUS DEARBHU (QQI), Irska i STICHTING N</w:t>
      </w:r>
      <w:r>
        <w:t>UFFIC (NUFFIC), Nizozemska.</w:t>
      </w:r>
    </w:p>
    <w:p w:rsidR="00531863" w:rsidRDefault="000304DA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314"/>
        <w:gridCol w:w="2341"/>
        <w:gridCol w:w="976"/>
        <w:gridCol w:w="1001"/>
        <w:gridCol w:w="1570"/>
        <w:gridCol w:w="1001"/>
        <w:gridCol w:w="1003"/>
      </w:tblGrid>
      <w:tr w:rsidR="00531863">
        <w:trPr>
          <w:jc w:val="center"/>
        </w:trPr>
        <w:tc>
          <w:tcPr>
            <w:tcW w:w="2551" w:type="dxa"/>
            <w:shd w:val="clear" w:color="auto" w:fill="B5C0D8"/>
          </w:tcPr>
          <w:p w:rsidR="00531863" w:rsidRDefault="000304DA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(2025.)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Publikacije i izrađena internetska stranica MAReN projekta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Cilj projekta je uspostava automatskog priznavanja inozemnih kvalifikacija među zemljama mediteranske regije kroz razvoj alata, poput usporedne tablice, koji su namijenjeni visokim učilištima i drugim dionicima.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CIMEA (koordinator projekta) i 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2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Publikacija AR25 projekta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Micro credential evaluator – alat za vrednovanje mikro-vjerodajnica, ažuriranje tablice EHEA kvalifikacija i izvješća o automatskom priznavanju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NUFFIC (koordinator projekta) i 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SMEQA - radionice, Zaključak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Niz radionica različitih tema vezanih uz sustav osiguravanja kvalitete u visoko obrazovanju za različite dionike u BiH sustavu i dokument Zaključak: Conclusion from International Conference on Key Principles and Elements for Models of External Evaluation i</w:t>
            </w:r>
            <w:r>
              <w:rPr>
                <w:rFonts w:cs="Times New Roman"/>
              </w:rPr>
              <w:t>n Institutional and Program Accreditation in BiH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Koordinator SMEQA projekta (Univerzite u Zenici) i 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7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7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Kick-off meeting (ARAQUA2)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 xml:space="preserve">Početni sastanak projektnog konzorcija (online) i istraživanje o kvalifikacijama za pristup visokom obrazovanju </w:t>
            </w:r>
            <w:r>
              <w:rPr>
                <w:rFonts w:cs="Times New Roman"/>
              </w:rPr>
              <w:t>i alatima za automatsko priznavanje u Hrvatskoj.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Projektni koordinator: AKADEMISKAS INFORMACIJAS CENTRS (AIC), Latvija i 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2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2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Kick-off meeting (AR2030)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Početni sastanak projektnog konzorcija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Projektni koordinator: Nizozemski ENIC/NARIC ured (NUFFIC)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Kick-off meeting (Verif-AI)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Početni sastanak projektnog konzorcija i izrada plana diseminacije projektnih rezultata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Projektni koordinator: ASSOCIAZIONE CIMEA, Italija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2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2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4"/>
      </w:pPr>
      <w:r>
        <w:t>K621178 OPRE</w:t>
      </w:r>
      <w:r>
        <w:t>MANJE I UREĐENJE AGENCIJE ZA ZNANOST I VISOKO OBRAZOVANJE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2"/>
        <w:gridCol w:w="2042"/>
        <w:gridCol w:w="2042"/>
        <w:gridCol w:w="2042"/>
        <w:gridCol w:w="1224"/>
        <w:gridCol w:w="1224"/>
      </w:tblGrid>
      <w:tr w:rsidR="00531863">
        <w:trPr>
          <w:jc w:val="center"/>
        </w:trPr>
        <w:tc>
          <w:tcPr>
            <w:tcW w:w="1632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531863">
        <w:trPr>
          <w:jc w:val="center"/>
        </w:trPr>
        <w:tc>
          <w:tcPr>
            <w:tcW w:w="1632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K621178-OPREMANJE I UREĐENJE AGENCIJE ZA ZNANOST I VISOKO OBRAZOVANJE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59.504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56.500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37.574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66,5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63,1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8"/>
        <w:jc w:val="left"/>
      </w:pPr>
      <w:r>
        <w:t>Zakonske i druge pravne osnove</w:t>
      </w:r>
    </w:p>
    <w:p w:rsidR="00531863" w:rsidRDefault="000304DA">
      <w:r>
        <w:t>Zakon o osiguravanju kvalitete u visokom obrazovanju i znanosti</w:t>
      </w:r>
    </w:p>
    <w:p w:rsidR="00531863" w:rsidRDefault="000304DA">
      <w:pPr>
        <w:pStyle w:val="Heading8"/>
        <w:jc w:val="left"/>
      </w:pPr>
      <w:r>
        <w:t>Opis aktivnosti</w:t>
      </w:r>
    </w:p>
    <w:p w:rsidR="00531863" w:rsidRDefault="000304DA">
      <w:r>
        <w:t xml:space="preserve">U 2025. g. MOZVAG nije korišten u postupcima.  </w:t>
      </w:r>
    </w:p>
    <w:p w:rsidR="00531863" w:rsidRDefault="000304DA">
      <w:r>
        <w:t>Na ovoj aktivnosti utrošena su sredstva za nabavu računala i računalne opreme i licenci.</w:t>
      </w:r>
    </w:p>
    <w:p w:rsidR="00531863" w:rsidRDefault="000304DA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1020"/>
        <w:gridCol w:w="1020"/>
        <w:gridCol w:w="1020"/>
        <w:gridCol w:w="1020"/>
        <w:gridCol w:w="1020"/>
      </w:tblGrid>
      <w:tr w:rsidR="00531863">
        <w:trPr>
          <w:jc w:val="center"/>
        </w:trPr>
        <w:tc>
          <w:tcPr>
            <w:tcW w:w="2551" w:type="dxa"/>
            <w:shd w:val="clear" w:color="auto" w:fill="B5C0D8"/>
          </w:tcPr>
          <w:p w:rsidR="00531863" w:rsidRDefault="000304DA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</w:t>
            </w:r>
            <w:r>
              <w:rPr>
                <w:rFonts w:cs="Times New Roman"/>
              </w:rPr>
              <w:t>25.)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Osiguran je kontinuirani rad informacijskog sustava i njegovo korištenje u postupcima vanjskih vrednovanja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Sustav informatičke podrške za provođenje reakreditacije koji se koristi za prikupljanje i obradu podataka svih visokih učilišta u postupcima vanjskih vrednovanja.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%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100%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4"/>
      </w:pPr>
      <w:r>
        <w:t>K621194 NACIONALNI INFORMACIJSKI SUSTAV PRIJAVA NA VISOKA UČILIŠTA - NISpV</w:t>
      </w:r>
      <w:r>
        <w:t>U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8"/>
        <w:gridCol w:w="2040"/>
        <w:gridCol w:w="2040"/>
        <w:gridCol w:w="2040"/>
        <w:gridCol w:w="1224"/>
        <w:gridCol w:w="1224"/>
      </w:tblGrid>
      <w:tr w:rsidR="00531863">
        <w:trPr>
          <w:jc w:val="center"/>
        </w:trPr>
        <w:tc>
          <w:tcPr>
            <w:tcW w:w="1632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531863">
        <w:trPr>
          <w:jc w:val="center"/>
        </w:trPr>
        <w:tc>
          <w:tcPr>
            <w:tcW w:w="1632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K621194-NACIONALNI INFORMACIJSKI SUSTAV PRIJAVA NA VISOKA UČILIŠTA - NISpVU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81.861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83.800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81.861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97,7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100,0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8"/>
        <w:jc w:val="left"/>
      </w:pPr>
      <w:r>
        <w:t>Zakonske i druge pravne osnove</w:t>
      </w:r>
    </w:p>
    <w:p w:rsidR="00531863" w:rsidRDefault="000304DA">
      <w:r>
        <w:t>Zakon o osiguravanju kvalitete u visokom obrazovanju i znanosti; Zakon o priznavanju i vrednovanju inozemnih obrazovnih kvalifikacija; Zakon o visokom obrazovanju i znanstvenoj djelatnosti</w:t>
      </w:r>
    </w:p>
    <w:p w:rsidR="00531863" w:rsidRDefault="000304DA">
      <w:pPr>
        <w:pStyle w:val="Heading8"/>
        <w:jc w:val="left"/>
      </w:pPr>
      <w:r>
        <w:t>Opis aktivnosti</w:t>
      </w:r>
    </w:p>
    <w:p w:rsidR="00531863" w:rsidRDefault="000304DA">
      <w:r>
        <w:t>U 2025. godini rasho</w:t>
      </w:r>
      <w:r>
        <w:t>di za ulaganje u računalne programe utrošeni su za isplatu ugovorenih usluga održavanja i nadogradnje dijela Nacionalnog informacijskog sustava prijava na visoka učilišta (NISpVU) koji se odnosi na prijave studijskih programa i rangiranje tijekom 2025. god</w:t>
      </w:r>
      <w:r>
        <w:t>ine i dijela Nacionalnog informacijskog sustava prijava diplomskih studija (NISpDS) koji se odnosi na sinkronizaciju s ISVU sustavom tijekom 2025. godine.</w:t>
      </w:r>
    </w:p>
    <w:p w:rsidR="00531863" w:rsidRDefault="000304DA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1020"/>
        <w:gridCol w:w="1020"/>
        <w:gridCol w:w="1020"/>
        <w:gridCol w:w="1020"/>
        <w:gridCol w:w="1020"/>
      </w:tblGrid>
      <w:tr w:rsidR="00531863">
        <w:trPr>
          <w:jc w:val="center"/>
        </w:trPr>
        <w:tc>
          <w:tcPr>
            <w:tcW w:w="2551" w:type="dxa"/>
            <w:shd w:val="clear" w:color="auto" w:fill="B5C0D8"/>
          </w:tcPr>
          <w:p w:rsidR="00531863" w:rsidRDefault="000304DA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Cilj</w:t>
            </w:r>
            <w:r>
              <w:rPr>
                <w:rFonts w:cs="Times New Roman"/>
              </w:rPr>
              <w:t>ana vrijednost (2025.)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Informacijski sustavi za prijavu studijskih programa redovno su održavani i korisnici sustava ih koriste bez poteškoća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Održavanje informacijskih sustava AZVO za prijave na prijediplomske, integrirane i diplomske studijske programe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%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100%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100%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4"/>
      </w:pPr>
      <w:r>
        <w:t>K867020 PROGRAM UČINKOVITI LJUDSKI POTENCIJALI 2021.-2027.., PRIORITET 2 - OSIGURAVANJE KVALITETE U VISOKOM OBRAZOVANJU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8"/>
        <w:gridCol w:w="2040"/>
        <w:gridCol w:w="2040"/>
        <w:gridCol w:w="2040"/>
        <w:gridCol w:w="1224"/>
        <w:gridCol w:w="1224"/>
      </w:tblGrid>
      <w:tr w:rsidR="00531863">
        <w:trPr>
          <w:jc w:val="center"/>
        </w:trPr>
        <w:tc>
          <w:tcPr>
            <w:tcW w:w="1632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531863">
        <w:trPr>
          <w:jc w:val="center"/>
        </w:trPr>
        <w:tc>
          <w:tcPr>
            <w:tcW w:w="1632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K867020-PROGRAM UČINKOVITI LJUDSKI POTENCIJALI 2021.-2027.., PRIORITET 2 - OSIGURAVANJE KVALITETE U VISOKOM OBRAZO</w:t>
            </w:r>
            <w:r>
              <w:rPr>
                <w:rFonts w:cs="Times New Roman"/>
              </w:rPr>
              <w:t>VANJU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121.316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1.180.456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523.177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44,3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431,3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8"/>
        <w:jc w:val="left"/>
      </w:pPr>
      <w:r>
        <w:t>Zakonske i druge pravne osnove</w:t>
      </w:r>
    </w:p>
    <w:p w:rsidR="00531863" w:rsidRDefault="000304DA">
      <w:r>
        <w:t>Zakon o osiguravanju kvalitete u znanosti i visokom obrazovanju te Zakon o visokom obrazovanju i znanstvenoj djelatnosti.</w:t>
      </w:r>
    </w:p>
    <w:p w:rsidR="00531863" w:rsidRDefault="000304DA">
      <w:pPr>
        <w:pStyle w:val="Heading8"/>
        <w:jc w:val="left"/>
      </w:pPr>
      <w:r>
        <w:t>Opis aktivnosti</w:t>
      </w:r>
    </w:p>
    <w:p w:rsidR="00531863" w:rsidRDefault="000304DA">
      <w:r>
        <w:t>AZVO u sklopu Programa Učinkoviti ljudski potencijali 2021. – 2027. Europskog socijalnog fonda plus (ESF+) provodi projekt SF.2.4.06.02.0001 Osiguravanje kvalitete u visokom obrazovanju kroz izravnu dodjelu bespovratnih sredstava. Projekt uključuje unaprje</w:t>
      </w:r>
      <w:r>
        <w:t xml:space="preserve">đenje postupaka vanjskog osiguravanja kvalitete u sustavu visokog obrazovanja koje AZVO provodi te povezane razvojne aktivnosti s ciljem unaprjeđenja unutarnjeg sustava osiguravanja kvalitete.     </w:t>
      </w:r>
    </w:p>
    <w:p w:rsidR="00531863" w:rsidRDefault="000304DA">
      <w:r>
        <w:t>Tijekom 2025. godine nastavila se pokusna provedba postupa</w:t>
      </w:r>
      <w:r>
        <w:t>ka reakreditacije u skladu s Planom reakreditacije visokih učilišta za 2025. godinu, odnosno održani su posjeti stručnih povjerenstava na jedanaest visokih učilišta. Troškovi uključeni u ovu podaktivnost za 2025. godinu uključuju naknade članovima stručnih</w:t>
      </w:r>
      <w:r>
        <w:t xml:space="preserve"> povjerenstava u postupcima vrednovanja, troškove cateringa i radnih ručkova za postupke vrednovanja, putne troškove (noćenje, dnevnice, trošak puta) zaposlenika AZVO-a koji sudjeluju na aktivnostima projekta, te putne troškove i smještaj domaćih i međunar</w:t>
      </w:r>
      <w:r>
        <w:t xml:space="preserve">odnih recenzenata u postupcima vrednovanja.  </w:t>
      </w:r>
    </w:p>
    <w:p w:rsidR="00531863" w:rsidRDefault="000304DA">
      <w:r>
        <w:t>Također je započela pokusna provedba postupaka inicijalne akreditacije studijskih programa i pokusna provedba postupaka inicijalne akreditacije doktorskih studija. Održani su posjeti stručnih povjerenstava u sk</w:t>
      </w:r>
      <w:r>
        <w:t>lopu vrednovanja 14 novih studijskih programa i 1 novog doktorskog studija. Troškovi uključeni u ovu podaktivnost za 2025. godinu uključuju naknade članovima stručnih povjerenstava u postupcima vrednovanja, troškove cateringa i radnih ručkova za postupke v</w:t>
      </w:r>
      <w:r>
        <w:t xml:space="preserve">rednovanja, putne troškove (noćenje, dnevnice, trošak puta) zaposlenika AZVO-a koji sudjeluju na aktivnostima projekta, te putne troškove i smještaj domaćih i međunarodnih recenzenata u postupcima vrednovanja. </w:t>
      </w:r>
    </w:p>
    <w:p w:rsidR="00531863" w:rsidRDefault="000304DA">
      <w:r>
        <w:t>Stručno usavršavanje djelatnika uključuje tro</w:t>
      </w:r>
      <w:r>
        <w:t>šak domaćih i međunarodnih kotizacija za konferencije, edukacije, seminare te studijska putovanja za zaposlenike Agencije koji sudjeluju na aktivnostima projekta. Tijekom 2025. zaposlenici Agencije sudjelovali su na 12 konferencija, odnosno edukacija, te n</w:t>
      </w:r>
      <w:r>
        <w:t xml:space="preserve">a 2 studijska putovanja. </w:t>
      </w:r>
    </w:p>
    <w:p w:rsidR="00531863" w:rsidRDefault="000304DA">
      <w:r>
        <w:t xml:space="preserve">AZVO je aktivni punopravnih član relevantnih međunarodnih udruženja za koje podmiruje godišnje članarine. Stavka obuhvaća godišnje članarine u ENQA-i, EQAR-u, CEENQA-i i ECA-i. </w:t>
      </w:r>
    </w:p>
    <w:p w:rsidR="00531863" w:rsidRDefault="000304DA">
      <w:r>
        <w:t>Nadalje, tijekom 2025. godine troškovi su uključival</w:t>
      </w:r>
      <w:r>
        <w:t xml:space="preserve">i usluge promidžbe i informiranja, odnosno izradu vizualnog identiteta projekta, nabavu promotivnog materijala i izradu promotivnog videozapisa. Navedeno je sve relevantno za vidljivost projekta i njegovih rezultata. </w:t>
      </w:r>
    </w:p>
    <w:p w:rsidR="00531863" w:rsidRDefault="000304DA">
      <w:r>
        <w:t>U sklopu projekta je 25. studenoga 202</w:t>
      </w:r>
      <w:r>
        <w:t xml:space="preserve">5. provedena projektna aktivnost organizacije međunarodne konferencije pod nazivom „Kvaliteta u visokom obrazovanju i znanosti: Od izazova do prilika – zajedno“. Konferencija je okupila domaće i međunarodne stručnjake, predstavnike krovnih europskih mreža </w:t>
      </w:r>
      <w:r>
        <w:t>za osiguravanje kvalitete i predstavnike akademske i znanstvene zajednice, koji su kroz predavanja i panele ponudili različite perspektive na osiguravanje kvalitete u Europskom prostoru visokog obrazovanja te raspravili aktualne izazove u visokom obrazovan</w:t>
      </w:r>
      <w:r>
        <w:t xml:space="preserve">ju i znanosti na europskoj i nacionalnoj razini. Troškovi konferencije uključivali su najam dvorane, catering za predavače i sudionike, putne troškove i smještaj predavača na konferenciji, kao i usluge moderatora i fotografa. </w:t>
      </w:r>
    </w:p>
    <w:p w:rsidR="00531863" w:rsidRDefault="000304DA">
      <w:r>
        <w:t>Tijekom 2025. godine nabavlje</w:t>
      </w:r>
      <w:r>
        <w:t>no je 10 prijenosnih računala za podršku provedbi projektnih aktivnosti (uključujući podršku procesima vanjskog vrednovanja).</w:t>
      </w:r>
    </w:p>
    <w:p w:rsidR="00531863" w:rsidRDefault="000304DA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1020"/>
        <w:gridCol w:w="1020"/>
        <w:gridCol w:w="1020"/>
        <w:gridCol w:w="1020"/>
        <w:gridCol w:w="1020"/>
      </w:tblGrid>
      <w:tr w:rsidR="00531863">
        <w:trPr>
          <w:jc w:val="center"/>
        </w:trPr>
        <w:tc>
          <w:tcPr>
            <w:tcW w:w="2551" w:type="dxa"/>
            <w:shd w:val="clear" w:color="auto" w:fill="B5C0D8"/>
          </w:tcPr>
          <w:p w:rsidR="00531863" w:rsidRDefault="000304DA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(2025.)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Broj provedenih vanjskih vrednovanja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 xml:space="preserve">Vanjska vrednovanja podrazumijevaju postupke: reakreditaciju VU-a, inicijalnu akreditaciju studijskih programa, inicijalnu akreditaciju doktorskih studija, vrednovanje provedbe programskih </w:t>
            </w:r>
            <w:r>
              <w:rPr>
                <w:rFonts w:cs="Times New Roman"/>
              </w:rPr>
              <w:t>ugovora i tematsko vrednovanje (provedba analize disciplinarnosti)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90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26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Broj održanih seminara, edukacija za predstavnike visokih učilišta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 xml:space="preserve">Edukacije podrazumijevaju: edukacije djelatnika VU-a s ciljem osnaživanja kapaciteta VU-a za unutarnje osiguravanje kvalitete, edukacije nastavnog osoblja VU-a s ciljem unaprjeđenja nastavničkih kompetencija te edukacije za studente u svrhu uključivanja u </w:t>
            </w:r>
            <w:r>
              <w:rPr>
                <w:rFonts w:cs="Times New Roman"/>
              </w:rPr>
              <w:t>procese osiguravanja kvalitete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Unaprjeđeni i novi postupci vanjskog vrednovanja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Podrazumijeva izradu modela programskog vrednovanja za inicijalnu akreditaciju doktorskih studija, model vrednovanja provedbe programskih ugovora, tematsko vr</w:t>
            </w:r>
            <w:r>
              <w:rPr>
                <w:rFonts w:cs="Times New Roman"/>
              </w:rPr>
              <w:t>ednovanje, model reakreditacije VU-a, inicijalna akreditacija studijskih programa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4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3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Unaprjeđen informacijski sustav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Podrazumijeva izradu informacijskog sustava AZVO-a koji objedinjuje poslovne procese AZVO-a s ciljem povećanja poslovne učinkovitosti te unaprjeđenje informacijskog sustava podrške za provedbu vanjskih vrednovanja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4"/>
      </w:pPr>
      <w:r>
        <w:t>K867022 PROGRAM UČINKOVITI LJUDSKI POTENCIJALI 2021.-2027., PRIORITET 2 - OBRAZOVANJE I CJELOŽIVOTNO UČENJE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2"/>
        <w:gridCol w:w="2042"/>
        <w:gridCol w:w="2042"/>
        <w:gridCol w:w="2042"/>
        <w:gridCol w:w="1224"/>
        <w:gridCol w:w="1224"/>
      </w:tblGrid>
      <w:tr w:rsidR="00531863">
        <w:trPr>
          <w:jc w:val="center"/>
        </w:trPr>
        <w:tc>
          <w:tcPr>
            <w:tcW w:w="1632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531863">
        <w:trPr>
          <w:jc w:val="center"/>
        </w:trPr>
        <w:tc>
          <w:tcPr>
            <w:tcW w:w="1632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K86702</w:t>
            </w:r>
            <w:r>
              <w:rPr>
                <w:rFonts w:cs="Times New Roman"/>
              </w:rPr>
              <w:t>2-PROGRAM UČINKOVITI LJUDSKI POTENCIJALI 2021.-2027., PRIORITET 2 - OBRAZOVANJE I CJELOŽIVOTNO UČENJE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5.157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108.581</w:t>
            </w:r>
          </w:p>
        </w:tc>
        <w:tc>
          <w:tcPr>
            <w:tcW w:w="2041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40.030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36,9</w:t>
            </w:r>
          </w:p>
        </w:tc>
        <w:tc>
          <w:tcPr>
            <w:tcW w:w="1224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776,2</w:t>
            </w:r>
          </w:p>
        </w:tc>
      </w:tr>
    </w:tbl>
    <w:p w:rsidR="00531863" w:rsidRDefault="00531863">
      <w:pPr>
        <w:jc w:val="left"/>
      </w:pPr>
    </w:p>
    <w:p w:rsidR="00531863" w:rsidRDefault="000304DA">
      <w:pPr>
        <w:pStyle w:val="Heading8"/>
        <w:jc w:val="left"/>
      </w:pPr>
      <w:r>
        <w:t>Zakonske i druge pravne osnove</w:t>
      </w:r>
    </w:p>
    <w:p w:rsidR="00531863" w:rsidRDefault="000304DA">
      <w:r>
        <w:t>Zakon o osiguravanju kvalitete u znanosti i visokom obrazovanju te Zakon o znanstvenoj djelatnosti i visokom obrazovanju</w:t>
      </w:r>
    </w:p>
    <w:p w:rsidR="00531863" w:rsidRDefault="000304DA">
      <w:pPr>
        <w:pStyle w:val="Heading8"/>
        <w:jc w:val="left"/>
      </w:pPr>
      <w:r>
        <w:t>Opis aktivnosti</w:t>
      </w:r>
    </w:p>
    <w:p w:rsidR="00531863" w:rsidRDefault="000304DA">
      <w:r>
        <w:t>AZVO u sklopu Programa Učinkoviti ljudski potencijali 2021. – 2027. Europskog socijalnog fonda plus (ESF+) provodi proj</w:t>
      </w:r>
      <w:r>
        <w:t xml:space="preserve">ekt Cjelovita informatizacija sustava odgoja i obrazovanja (CISOO).   </w:t>
      </w:r>
    </w:p>
    <w:p w:rsidR="00531863" w:rsidRDefault="000304DA">
      <w:r>
        <w:t>Korisnička institucija i nositelj projekta je Hrvatska akademska i istraživačka mreža (CARNET), a provodi ga u partnerstvu i suradnji s relevantnim institucijama: Ministarstvo znanosti,</w:t>
      </w:r>
      <w:r>
        <w:t xml:space="preserve"> obrazovanja i mladih (MZOM), Ministarstvo pravosuđa, uprave i digitalne transformacije (MPUDT) i Agencija za znanost i visoko obrazovanje (AZVO). Agencija će u sklopu projekta provesti aktivnosti nadogradnje Nacionalnog informacijskog sustava prijava na v</w:t>
      </w:r>
      <w:r>
        <w:t xml:space="preserve">isoka učilišta 2, spajanje na državnu sabirnicu te izradu aplikacije za usporedbu studija.   </w:t>
      </w:r>
    </w:p>
    <w:p w:rsidR="00531863" w:rsidRDefault="000304DA">
      <w:r>
        <w:t>U 2024. godini djelatnici AZVO-a su izradili tehničku specifikaciju i ostalu dokumentaciju te su provedene aktivnosti u okviru provedbe javne nabave za unapređenj</w:t>
      </w:r>
      <w:r>
        <w:t xml:space="preserve">e NISpVU2 sustava. </w:t>
      </w:r>
    </w:p>
    <w:p w:rsidR="00531863" w:rsidRDefault="000304DA">
      <w:r>
        <w:t>U 2025. godini započela je realizacija planiranih projektnih aktivnosti.</w:t>
      </w:r>
    </w:p>
    <w:p w:rsidR="00531863" w:rsidRDefault="000304DA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1020"/>
        <w:gridCol w:w="1020"/>
        <w:gridCol w:w="1020"/>
        <w:gridCol w:w="1020"/>
        <w:gridCol w:w="1020"/>
      </w:tblGrid>
      <w:tr w:rsidR="00531863">
        <w:trPr>
          <w:jc w:val="center"/>
        </w:trPr>
        <w:tc>
          <w:tcPr>
            <w:tcW w:w="2551" w:type="dxa"/>
            <w:shd w:val="clear" w:color="auto" w:fill="B5C0D8"/>
          </w:tcPr>
          <w:p w:rsidR="00531863" w:rsidRDefault="000304DA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(2025.)</w:t>
            </w:r>
          </w:p>
        </w:tc>
        <w:tc>
          <w:tcPr>
            <w:tcW w:w="1020" w:type="dxa"/>
            <w:shd w:val="clear" w:color="auto" w:fill="B5C0D8"/>
          </w:tcPr>
          <w:p w:rsidR="00531863" w:rsidRDefault="000304DA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Nadogradnja novih funkcionalnosti u NISpVU2 i povezivanje s ostalim nacionalnim sustavima/servisima, te bazama podataka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Podrazumijeva dodavanje novih funkcionalnosti (prikaz studijskih programa koje je moguće prijaviti s već položenim/prijavljenim ispitima</w:t>
            </w:r>
            <w:r>
              <w:rPr>
                <w:rFonts w:cs="Times New Roman"/>
              </w:rPr>
              <w:t xml:space="preserve"> državne mature; ažuran prikaz prijavljenih ispita državne mature, prikaz obavijesti o nemogućnosti prijave pojedinih studijskih programa za koji nije prijavljen potreban ispit državne mature sukladno uvjetima visokog učilišta), povezivanje sa e-Maticom 2,</w:t>
            </w:r>
            <w:r>
              <w:rPr>
                <w:rFonts w:cs="Times New Roman"/>
              </w:rPr>
              <w:t xml:space="preserve"> Središnji registar državne mature (SRDM), Informacijski sustav visokih učilišta (ISVU) te OIB sustavom kao i bazama i registrima (AZOO i ASOO natjecanja, Hrvatski olimpijski odbor, Registar osoba s invaliditetom HZJZ, Upisnik studijskih programa, Upisnik </w:t>
            </w:r>
            <w:r>
              <w:rPr>
                <w:rFonts w:cs="Times New Roman"/>
              </w:rPr>
              <w:t>visokih učilišta)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%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100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10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Aplikacija za usporedbu studija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Razvoj nove i unaprijeđene on-line aplikacije za usporedbu studija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</w:tr>
      <w:tr w:rsidR="00531863">
        <w:trPr>
          <w:jc w:val="center"/>
        </w:trPr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Broj održanih edukacija</w:t>
            </w:r>
          </w:p>
        </w:tc>
        <w:tc>
          <w:tcPr>
            <w:tcW w:w="2551" w:type="dxa"/>
          </w:tcPr>
          <w:p w:rsidR="00531863" w:rsidRDefault="000304DA">
            <w:pPr>
              <w:pStyle w:val="CellColumn"/>
              <w:jc w:val="left"/>
            </w:pPr>
            <w:r>
              <w:rPr>
                <w:rFonts w:cs="Times New Roman"/>
              </w:rPr>
              <w:t>Edukacije podrazumijevaju edukacije djelatnika VU-a i srednjih škola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AZVO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5</w:t>
            </w:r>
          </w:p>
        </w:tc>
        <w:tc>
          <w:tcPr>
            <w:tcW w:w="1020" w:type="dxa"/>
          </w:tcPr>
          <w:p w:rsidR="00531863" w:rsidRDefault="000304DA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</w:tr>
    </w:tbl>
    <w:p w:rsidR="00531863" w:rsidRDefault="00531863">
      <w:pPr>
        <w:jc w:val="left"/>
      </w:pPr>
    </w:p>
    <w:sectPr w:rsidR="00531863" w:rsidSect="00F91724">
      <w:headerReference w:type="default" r:id="rId7"/>
      <w:footerReference w:type="default" r:id="rId8"/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4DA" w:rsidRDefault="000304DA" w:rsidP="00F352E6">
      <w:r>
        <w:separator/>
      </w:r>
    </w:p>
  </w:endnote>
  <w:endnote w:type="continuationSeparator" w:id="0">
    <w:p w:rsidR="000304DA" w:rsidRDefault="000304DA" w:rsidP="00F3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898" w:rsidRPr="00D769ED" w:rsidRDefault="000304DA" w:rsidP="007D4430">
    <w:pPr>
      <w:pStyle w:val="Footer"/>
      <w:pBdr>
        <w:top w:val="none" w:sz="0" w:space="0" w:color="auto"/>
      </w:pBd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4DA" w:rsidRDefault="000304DA" w:rsidP="00F352E6">
      <w:r>
        <w:separator/>
      </w:r>
    </w:p>
  </w:footnote>
  <w:footnote w:type="continuationSeparator" w:id="0">
    <w:p w:rsidR="000304DA" w:rsidRDefault="000304DA" w:rsidP="00F35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898" w:rsidRDefault="000304DA" w:rsidP="00A70582">
    <w:pPr>
      <w:pStyle w:val="Header"/>
      <w:pBdr>
        <w:bottom w:val="none" w:sz="0" w:space="0" w:color="auto"/>
      </w:pBdr>
      <w:tabs>
        <w:tab w:val="clear" w:pos="9072"/>
        <w:tab w:val="right" w:pos="9540"/>
      </w:tabs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C76"/>
    <w:rsid w:val="00013A1A"/>
    <w:rsid w:val="0002533C"/>
    <w:rsid w:val="000304DA"/>
    <w:rsid w:val="000352D6"/>
    <w:rsid w:val="000C0A6C"/>
    <w:rsid w:val="0010779D"/>
    <w:rsid w:val="0013155A"/>
    <w:rsid w:val="0017490A"/>
    <w:rsid w:val="001E5246"/>
    <w:rsid w:val="0027042C"/>
    <w:rsid w:val="00311AA1"/>
    <w:rsid w:val="00382225"/>
    <w:rsid w:val="00386953"/>
    <w:rsid w:val="00463609"/>
    <w:rsid w:val="00480C76"/>
    <w:rsid w:val="004C01B5"/>
    <w:rsid w:val="0052289C"/>
    <w:rsid w:val="00524A66"/>
    <w:rsid w:val="00526A7C"/>
    <w:rsid w:val="00531863"/>
    <w:rsid w:val="005A70C0"/>
    <w:rsid w:val="005B6ED7"/>
    <w:rsid w:val="005E2D85"/>
    <w:rsid w:val="00633683"/>
    <w:rsid w:val="00674346"/>
    <w:rsid w:val="006B3283"/>
    <w:rsid w:val="007665AA"/>
    <w:rsid w:val="007A7E45"/>
    <w:rsid w:val="007D1C46"/>
    <w:rsid w:val="007D395B"/>
    <w:rsid w:val="007D4430"/>
    <w:rsid w:val="00847495"/>
    <w:rsid w:val="008636E2"/>
    <w:rsid w:val="008A7E2A"/>
    <w:rsid w:val="008F5D18"/>
    <w:rsid w:val="009359F2"/>
    <w:rsid w:val="0094382E"/>
    <w:rsid w:val="00951B1A"/>
    <w:rsid w:val="009E33D3"/>
    <w:rsid w:val="00A021A2"/>
    <w:rsid w:val="00A320E5"/>
    <w:rsid w:val="00A70582"/>
    <w:rsid w:val="00AB5FEA"/>
    <w:rsid w:val="00AB7B4E"/>
    <w:rsid w:val="00B15946"/>
    <w:rsid w:val="00B2737F"/>
    <w:rsid w:val="00B31E2E"/>
    <w:rsid w:val="00B41BF8"/>
    <w:rsid w:val="00BA487B"/>
    <w:rsid w:val="00BA7BD1"/>
    <w:rsid w:val="00BB642B"/>
    <w:rsid w:val="00BF02E9"/>
    <w:rsid w:val="00BF3F24"/>
    <w:rsid w:val="00C7470A"/>
    <w:rsid w:val="00DE2416"/>
    <w:rsid w:val="00E42E87"/>
    <w:rsid w:val="00E62EF0"/>
    <w:rsid w:val="00ED0E3A"/>
    <w:rsid w:val="00F352E6"/>
    <w:rsid w:val="00F67315"/>
    <w:rsid w:val="00F91724"/>
    <w:rsid w:val="00F92AEE"/>
    <w:rsid w:val="00FE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5D75BC-09A8-4A24-AF6B-EA091288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FE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sl-SI"/>
    </w:rPr>
  </w:style>
  <w:style w:type="paragraph" w:styleId="Heading1">
    <w:name w:val="heading 1"/>
    <w:basedOn w:val="Normal"/>
    <w:next w:val="Normal"/>
    <w:link w:val="Heading1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0"/>
    </w:pPr>
    <w:rPr>
      <w:b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62EF0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1"/>
    </w:pPr>
    <w:rPr>
      <w:b/>
      <w:spacing w:val="20"/>
      <w:sz w:val="30"/>
      <w:szCs w:val="30"/>
    </w:rPr>
  </w:style>
  <w:style w:type="paragraph" w:styleId="Heading3">
    <w:name w:val="heading 3"/>
    <w:basedOn w:val="Normal"/>
    <w:next w:val="Normal"/>
    <w:link w:val="Heading3Char"/>
    <w:qFormat/>
    <w:rsid w:val="00FE4B89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overflowPunct/>
      <w:autoSpaceDE/>
      <w:autoSpaceDN/>
      <w:adjustRightInd/>
      <w:spacing w:line="288" w:lineRule="auto"/>
      <w:jc w:val="left"/>
      <w:textAlignment w:val="auto"/>
      <w:outlineLvl w:val="2"/>
    </w:pPr>
    <w:rPr>
      <w:rFonts w:cs="Arial"/>
      <w:b/>
      <w:iCs/>
      <w:spacing w:val="20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overflowPunct/>
      <w:autoSpaceDE/>
      <w:autoSpaceDN/>
      <w:adjustRightInd/>
      <w:jc w:val="left"/>
      <w:textAlignment w:val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62EF0"/>
    <w:pPr>
      <w:keepNext/>
      <w:keepLines/>
      <w:jc w:val="left"/>
      <w:outlineLvl w:val="4"/>
    </w:pPr>
    <w:rPr>
      <w:b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62EF0"/>
    <w:pPr>
      <w:keepNext/>
      <w:keepLines/>
      <w:jc w:val="left"/>
      <w:outlineLvl w:val="5"/>
    </w:pPr>
    <w:rPr>
      <w:b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E62EF0"/>
    <w:pPr>
      <w:keepNext/>
      <w:jc w:val="left"/>
      <w:outlineLvl w:val="6"/>
    </w:pPr>
    <w:rPr>
      <w:b/>
      <w:spacing w:val="24"/>
      <w:szCs w:val="22"/>
    </w:rPr>
  </w:style>
  <w:style w:type="paragraph" w:styleId="Heading8">
    <w:name w:val="heading 8"/>
    <w:basedOn w:val="Normal6"/>
    <w:next w:val="Normal"/>
    <w:link w:val="Heading8Char"/>
    <w:uiPriority w:val="9"/>
    <w:unhideWhenUsed/>
    <w:qFormat/>
    <w:rsid w:val="00E62EF0"/>
    <w:pPr>
      <w:keepNext/>
      <w:keepLines/>
      <w:ind w:left="0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62EF0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1B1A"/>
    <w:rPr>
      <w:rFonts w:ascii="Times New Roman" w:eastAsia="Times New Roman" w:hAnsi="Times New Roman" w:cs="Times New Roman"/>
      <w:b/>
      <w:spacing w:val="20"/>
      <w:sz w:val="32"/>
      <w:szCs w:val="32"/>
      <w:shd w:val="clear" w:color="auto" w:fill="E6E6E6"/>
      <w:lang w:val="sl-SI"/>
    </w:rPr>
  </w:style>
  <w:style w:type="character" w:customStyle="1" w:styleId="Heading2Char">
    <w:name w:val="Heading 2 Char"/>
    <w:basedOn w:val="DefaultParagraphFont"/>
    <w:link w:val="Heading2"/>
    <w:rsid w:val="00E62EF0"/>
    <w:rPr>
      <w:rFonts w:ascii="Times New Roman" w:eastAsia="Times New Roman" w:hAnsi="Times New Roman" w:cs="Times New Roman"/>
      <w:b/>
      <w:spacing w:val="20"/>
      <w:sz w:val="30"/>
      <w:szCs w:val="30"/>
      <w:shd w:val="clear" w:color="auto" w:fill="E6E6E6"/>
      <w:lang w:val="sl-SI"/>
    </w:rPr>
  </w:style>
  <w:style w:type="character" w:customStyle="1" w:styleId="Heading3Char">
    <w:name w:val="Heading 3 Char"/>
    <w:basedOn w:val="DefaultParagraphFont"/>
    <w:link w:val="Heading3"/>
    <w:rsid w:val="00FE4B89"/>
    <w:rPr>
      <w:rFonts w:ascii="Times New Roman" w:eastAsia="Times New Roman" w:hAnsi="Times New Roman" w:cs="Arial"/>
      <w:b/>
      <w:iCs/>
      <w:spacing w:val="20"/>
      <w:sz w:val="28"/>
      <w:szCs w:val="28"/>
      <w:shd w:val="clear" w:color="auto" w:fill="E6E6E6"/>
      <w:lang w:val="sl-SI"/>
    </w:rPr>
  </w:style>
  <w:style w:type="character" w:customStyle="1" w:styleId="Heading4Char">
    <w:name w:val="Heading 4 Char"/>
    <w:basedOn w:val="DefaultParagraphFont"/>
    <w:link w:val="Heading4"/>
    <w:rsid w:val="00951B1A"/>
    <w:rPr>
      <w:rFonts w:ascii="Times New Roman" w:eastAsia="Times New Roman" w:hAnsi="Times New Roman" w:cs="Times New Roman"/>
      <w:b/>
      <w:bCs/>
      <w:sz w:val="28"/>
      <w:szCs w:val="28"/>
      <w:lang w:val="sl-SI"/>
    </w:rPr>
  </w:style>
  <w:style w:type="character" w:customStyle="1" w:styleId="Heading5Char">
    <w:name w:val="Heading 5 Char"/>
    <w:basedOn w:val="DefaultParagraphFont"/>
    <w:link w:val="Heading5"/>
    <w:rsid w:val="00E62EF0"/>
    <w:rPr>
      <w:rFonts w:ascii="Times New Roman" w:eastAsia="Times New Roman" w:hAnsi="Times New Roman" w:cs="Times New Roman"/>
      <w:b/>
      <w:sz w:val="26"/>
      <w:szCs w:val="26"/>
      <w:lang w:val="sl-SI"/>
    </w:rPr>
  </w:style>
  <w:style w:type="character" w:customStyle="1" w:styleId="Heading6Char">
    <w:name w:val="Heading 6 Char"/>
    <w:basedOn w:val="DefaultParagraphFont"/>
    <w:link w:val="Heading6"/>
    <w:rsid w:val="00E62EF0"/>
    <w:rPr>
      <w:rFonts w:ascii="Times New Roman" w:eastAsia="Times New Roman" w:hAnsi="Times New Roman" w:cs="Times New Roman"/>
      <w:b/>
      <w:sz w:val="24"/>
      <w:szCs w:val="24"/>
      <w:lang w:val="sl-SI"/>
    </w:rPr>
  </w:style>
  <w:style w:type="character" w:customStyle="1" w:styleId="Heading7Char">
    <w:name w:val="Heading 7 Char"/>
    <w:basedOn w:val="DefaultParagraphFont"/>
    <w:link w:val="Heading7"/>
    <w:rsid w:val="00E62EF0"/>
    <w:rPr>
      <w:rFonts w:ascii="Times New Roman" w:eastAsia="Times New Roman" w:hAnsi="Times New Roman" w:cs="Times New Roman"/>
      <w:b/>
      <w:spacing w:val="24"/>
      <w:lang w:val="sl-SI"/>
    </w:rPr>
  </w:style>
  <w:style w:type="paragraph" w:customStyle="1" w:styleId="KAZALO">
    <w:name w:val="KAZALO"/>
    <w:basedOn w:val="Normal"/>
    <w:rsid w:val="00480C76"/>
    <w:pPr>
      <w:keepNext/>
      <w:spacing w:after="240"/>
      <w:jc w:val="center"/>
    </w:pPr>
    <w:rPr>
      <w:b/>
      <w:bCs/>
      <w:sz w:val="32"/>
      <w:szCs w:val="32"/>
    </w:rPr>
  </w:style>
  <w:style w:type="paragraph" w:styleId="Header">
    <w:name w:val="header"/>
    <w:basedOn w:val="Normal"/>
    <w:link w:val="HeaderChar"/>
    <w:semiHidden/>
    <w:rsid w:val="00480C76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480C76"/>
    <w:rPr>
      <w:rFonts w:ascii="Times New Roman" w:eastAsia="Times New Roman" w:hAnsi="Times New Roman" w:cs="Times New Roman"/>
      <w:sz w:val="16"/>
      <w:szCs w:val="20"/>
      <w:lang w:val="sl-SI"/>
    </w:rPr>
  </w:style>
  <w:style w:type="paragraph" w:styleId="Footer">
    <w:name w:val="footer"/>
    <w:basedOn w:val="Normal"/>
    <w:link w:val="FooterChar"/>
    <w:semiHidden/>
    <w:rsid w:val="00480C76"/>
    <w:pPr>
      <w:pBdr>
        <w:top w:val="single" w:sz="4" w:space="1" w:color="auto"/>
      </w:pBdr>
      <w:tabs>
        <w:tab w:val="right" w:pos="9540"/>
      </w:tabs>
      <w:ind w:right="-21"/>
      <w:jc w:val="left"/>
    </w:pPr>
    <w:rPr>
      <w:sz w:val="20"/>
    </w:rPr>
  </w:style>
  <w:style w:type="character" w:customStyle="1" w:styleId="FooterChar">
    <w:name w:val="Footer Char"/>
    <w:basedOn w:val="DefaultParagraphFont"/>
    <w:link w:val="Footer"/>
    <w:semiHidden/>
    <w:rsid w:val="00480C76"/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PageNumber">
    <w:name w:val="page number"/>
    <w:basedOn w:val="DefaultParagraphFont"/>
    <w:semiHidden/>
    <w:rsid w:val="00480C76"/>
  </w:style>
  <w:style w:type="paragraph" w:customStyle="1" w:styleId="Normal3">
    <w:name w:val="Normal 3"/>
    <w:basedOn w:val="Normal"/>
    <w:link w:val="Normal3Char"/>
    <w:rsid w:val="00480C76"/>
    <w:pPr>
      <w:ind w:left="360"/>
    </w:pPr>
  </w:style>
  <w:style w:type="paragraph" w:customStyle="1" w:styleId="Normal4">
    <w:name w:val="Normal 4"/>
    <w:basedOn w:val="Normal"/>
    <w:link w:val="Normal4Char"/>
    <w:rsid w:val="00480C76"/>
    <w:pPr>
      <w:ind w:left="540"/>
    </w:pPr>
  </w:style>
  <w:style w:type="paragraph" w:customStyle="1" w:styleId="Normal5">
    <w:name w:val="Normal 5"/>
    <w:basedOn w:val="Normal"/>
    <w:link w:val="Normal5Char"/>
    <w:rsid w:val="00480C76"/>
    <w:pPr>
      <w:ind w:left="720"/>
    </w:pPr>
  </w:style>
  <w:style w:type="paragraph" w:customStyle="1" w:styleId="Normal6">
    <w:name w:val="Normal 6"/>
    <w:basedOn w:val="Normal"/>
    <w:link w:val="Normal6Char"/>
    <w:rsid w:val="00480C76"/>
    <w:pPr>
      <w:ind w:left="1080"/>
    </w:pPr>
  </w:style>
  <w:style w:type="character" w:customStyle="1" w:styleId="Normal3Char">
    <w:name w:val="Normal 3 Char"/>
    <w:basedOn w:val="DefaultParagraphFont"/>
    <w:link w:val="Normal3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5Char">
    <w:name w:val="Normal 5 Char"/>
    <w:basedOn w:val="DefaultParagraphFont"/>
    <w:link w:val="Normal5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4Char">
    <w:name w:val="Normal 4 Char"/>
    <w:basedOn w:val="DefaultParagraphFont"/>
    <w:link w:val="Normal4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styleId="Emphasis">
    <w:name w:val="Emphasis"/>
    <w:basedOn w:val="DefaultParagraphFont"/>
    <w:qFormat/>
    <w:rsid w:val="00480C76"/>
    <w:rPr>
      <w:b/>
      <w:bCs/>
      <w:i w:val="0"/>
      <w:iCs w:val="0"/>
    </w:rPr>
  </w:style>
  <w:style w:type="character" w:styleId="Strong">
    <w:name w:val="Strong"/>
    <w:basedOn w:val="DefaultParagraphFont"/>
    <w:qFormat/>
    <w:rsid w:val="00480C76"/>
    <w:rPr>
      <w:b/>
      <w:bCs/>
    </w:rPr>
  </w:style>
  <w:style w:type="character" w:styleId="Hyperlink">
    <w:name w:val="Hyperlink"/>
    <w:basedOn w:val="DefaultParagraphFont"/>
    <w:rsid w:val="00480C76"/>
    <w:rPr>
      <w:color w:val="0000FF"/>
      <w:u w:val="single"/>
    </w:rPr>
  </w:style>
  <w:style w:type="table" w:styleId="TableGrid">
    <w:name w:val="Table Grid"/>
    <w:basedOn w:val="TableNormal"/>
    <w:rsid w:val="00480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6Char">
    <w:name w:val="Normal 6 Char"/>
    <w:basedOn w:val="DefaultParagraphFont"/>
    <w:link w:val="Normal6"/>
    <w:rsid w:val="00480C76"/>
    <w:rPr>
      <w:rFonts w:ascii="Times New Roman" w:eastAsia="Times New Roman" w:hAnsi="Times New Roman" w:cs="Times New Roman"/>
      <w:szCs w:val="20"/>
      <w:lang w:val="sl-SI"/>
    </w:rPr>
  </w:style>
  <w:style w:type="paragraph" w:customStyle="1" w:styleId="CellHeader">
    <w:name w:val="CellHeader"/>
    <w:basedOn w:val="Normal"/>
    <w:qFormat/>
    <w:rsid w:val="00BB642B"/>
    <w:rPr>
      <w:rFonts w:cs="Arial"/>
      <w:bCs/>
      <w:sz w:val="20"/>
      <w:szCs w:val="22"/>
      <w:lang w:eastAsia="hr-HR"/>
    </w:rPr>
  </w:style>
  <w:style w:type="paragraph" w:customStyle="1" w:styleId="CellColumn">
    <w:name w:val="CellColumn"/>
    <w:basedOn w:val="CellHeader"/>
    <w:qFormat/>
    <w:rsid w:val="00BB642B"/>
  </w:style>
  <w:style w:type="character" w:customStyle="1" w:styleId="Heading8Char">
    <w:name w:val="Heading 8 Char"/>
    <w:basedOn w:val="DefaultParagraphFont"/>
    <w:link w:val="Heading8"/>
    <w:uiPriority w:val="9"/>
    <w:rsid w:val="00E62EF0"/>
    <w:rPr>
      <w:rFonts w:ascii="Times New Roman" w:eastAsia="Times New Roman" w:hAnsi="Times New Roman" w:cs="Times New Roman"/>
      <w:b/>
      <w:szCs w:val="20"/>
      <w:lang w:val="sl-SI"/>
    </w:rPr>
  </w:style>
  <w:style w:type="character" w:customStyle="1" w:styleId="Heading9Char">
    <w:name w:val="Heading 9 Char"/>
    <w:basedOn w:val="DefaultParagraphFont"/>
    <w:link w:val="Heading9"/>
    <w:uiPriority w:val="9"/>
    <w:rsid w:val="00E62E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l-SI"/>
    </w:rPr>
  </w:style>
  <w:style w:type="table" w:customStyle="1" w:styleId="Style1">
    <w:name w:val="Style1"/>
    <w:basedOn w:val="TableNormal"/>
    <w:uiPriority w:val="99"/>
    <w:rsid w:val="007A7E45"/>
    <w:pPr>
      <w:keepLines/>
      <w:spacing w:after="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  <w:tblStylePr w:type="firstRow">
      <w:pPr>
        <w:jc w:val="center"/>
      </w:pPr>
      <w:rPr>
        <w:rFonts w:ascii="Times New Roman" w:hAnsi="Times New Roman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table" w:customStyle="1" w:styleId="StilTablice">
    <w:name w:val="StilTablice"/>
    <w:basedOn w:val="TableNormal"/>
    <w:uiPriority w:val="99"/>
    <w:rsid w:val="00ED0E3A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NormalSpecial">
    <w:name w:val="NormalSpecial"/>
    <w:basedOn w:val="Normal"/>
    <w:next w:val="Normal"/>
    <w:qFormat/>
    <w:rsid w:val="0027042C"/>
    <w:pPr>
      <w:keepNext/>
      <w:spacing w:after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75226-BB13-4172-A589-B4D7B1AC3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7043</Words>
  <Characters>40149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Marasović</dc:creator>
  <cp:lastModifiedBy>Anita Marasović</cp:lastModifiedBy>
  <cp:revision>14</cp:revision>
  <dcterms:created xsi:type="dcterms:W3CDTF">2016-10-28T08:23:00Z</dcterms:created>
  <dcterms:modified xsi:type="dcterms:W3CDTF">2016-11-09T08:08:00Z</dcterms:modified>
</cp:coreProperties>
</file>