
<file path=[Content_Types].xml><?xml version="1.0" encoding="utf-8"?>
<Types xmlns="http://schemas.openxmlformats.org/package/2006/content-types">
  <Default Extension="xml" ContentType="application/vnd.openxmlformats-officedocument.wordprocessingml.document.main+xml"/>
  <Default Extension="rels" ContentType="application/vnd.openxmlformats-package.relationships+xml"/>
  <Override PartName="/word/styles.xml" ContentType="application/vnd.openxmlformats-officedocument.wordprocessingml.styl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de3dd5647414261" /></Relationships>
</file>

<file path=word/document.xml><?xml version="1.0" encoding="utf-8"?>
<w:document xmlns:w="http://schemas.openxmlformats.org/wordprocessingml/2006/main">
  <w:body>
    <w:tbl>
      <w:tblPr>
        <w:tblW w:w="9000" w:type="dxa"/>
        <w:tblBorders>
          <w:top w:val="nil"/>
          <w:bottom w:val="nil"/>
          <w:left w:val="nil"/>
          <w:right w:val="nil"/>
          <w:insideH w:val="nil"/>
          <w:insideV w:val="nil"/>
        </w:tblBorders>
        <w:tblCellSpacing w:w="60" w:type="dxa"/>
        <w:shd w:val="clear" w:color="auto" w:fill="E7F0F9"/>
      </w:tblPr>
      <w:tblGrid>
        <w:gridCol w:w="1200"/>
        <w:gridCol w:w="4500"/>
      </w:tblGrid>
      <w:tr>
        <w:tc>
          <w:tcPr>
            <w:tcW w:w="1200" w:type="pct"/>
            <w:shd w:val="clear" w:color="auto" w:fill="E7F0F9"/>
          </w:tcPr>
          <w:p>
            <w:pPr>
              <w:spacing w:before="0" w:after="0" w:line="240" w:lineRule="auto"/>
              <w:jc w:val="left"/>
            </w:pPr>
            <w:r>
              <w:rPr>
                <w:b/>
              </w:rPr>
              <w:t xml:space="preserve">RKP broj</w:t>
            </w:r>
          </w:p>
        </w:tc>
        <w:tc>
          <w:tcPr>
            <w:shd w:val="clear" w:color="auto" w:fill="E7F0F9"/>
          </w:tcPr>
          <w:p>
            <w:pPr>
              <w:spacing w:before="0" w:after="0" w:line="240" w:lineRule="auto"/>
              <w:jc w:val="left"/>
            </w:pPr>
            <w:r>
              <w:t xml:space="preserve">38487</w:t>
            </w:r>
          </w:p>
        </w:tc>
      </w:tr>
      <w:tr>
        <w:tc>
          <w:tcPr>
            <w:tcW w:w="1200" w:type="pct"/>
            <w:shd w:val="clear" w:color="auto" w:fill="E7F0F9"/>
          </w:tcPr>
          <w:p>
            <w:pPr>
              <w:spacing w:before="0" w:after="0" w:line="240" w:lineRule="auto"/>
              <w:jc w:val="left"/>
            </w:pPr>
            <w:r>
              <w:rPr>
                <w:b/>
              </w:rPr>
              <w:t xml:space="preserve">Naziv obveznika</w:t>
            </w:r>
          </w:p>
        </w:tc>
        <w:tc>
          <w:tcPr>
            <w:shd w:val="clear" w:color="auto" w:fill="E7F0F9"/>
          </w:tcPr>
          <w:p>
            <w:pPr>
              <w:spacing w:before="0" w:after="0" w:line="240" w:lineRule="auto"/>
              <w:jc w:val="left"/>
            </w:pPr>
            <w:r>
              <w:t xml:space="preserve">AGENCIJA ZA ZNANOST I VISOKO OBRAZOVANJE</w:t>
            </w:r>
          </w:p>
        </w:tc>
      </w:tr>
      <w:tr>
        <w:tc>
          <w:tcPr>
            <w:tcW w:w="1200" w:type="pct"/>
            <w:shd w:val="clear" w:color="auto" w:fill="E7F0F9"/>
          </w:tcPr>
          <w:p>
            <w:pPr>
              <w:spacing w:before="0" w:after="0" w:line="240" w:lineRule="auto"/>
              <w:jc w:val="left"/>
            </w:pPr>
            <w:r>
              <w:rPr>
                <w:b/>
              </w:rPr>
              <w:t xml:space="preserve">Razina</w:t>
            </w:r>
          </w:p>
        </w:tc>
        <w:tc>
          <w:tcPr>
            <w:shd w:val="clear" w:color="auto" w:fill="E7F0F9"/>
          </w:tcPr>
          <w:p>
            <w:pPr>
              <w:spacing w:before="0" w:after="0" w:line="240" w:lineRule="auto"/>
              <w:jc w:val="left"/>
            </w:pPr>
            <w:r>
              <w:t xml:space="preserve">11</w:t>
            </w:r>
          </w:p>
        </w:tc>
      </w:tr>
    </w:tbl>
    <w:p>
      <w:r>
        <w:br/>
      </w:r>
    </w:p>
    <w:p>
      <w:pPr>
        <w:jc w:val="center"/>
        <w:pStyle w:val="Normal"/>
        <w:spacing w:line="240" w:lineRule="auto"/>
      </w:pPr>
      <w:r>
        <w:rPr>
          <w:b/>
          <w:sz w:val="28"/>
          <w:rFonts w:ascii="Times New Roman" w:hAnsi="Times New Roman"/>
        </w:rPr>
        <w:t xml:space="preserve">BILJEŠKE UZ FINANCIJSKE IZVJEŠTAJE</w:t>
      </w:r>
    </w:p>
    <w:p>
      <w:pPr>
        <w:jc w:val="center"/>
        <w:pStyle w:val="Normal"/>
        <w:spacing w:line="240" w:lineRule="auto"/>
      </w:pPr>
      <w:r>
        <w:rPr>
          <w:b/>
          <w:sz w:val="28"/>
          <w:rFonts w:ascii="Times New Roman" w:hAnsi="Times New Roman"/>
        </w:rPr>
        <w:t xml:space="preserve">ZA RAZDOBLJE</w:t>
      </w:r>
    </w:p>
    <w:p>
      <w:pPr>
        <w:jc w:val="center"/>
        <w:pStyle w:val="Normal"/>
        <w:spacing w:line="240" w:lineRule="auto"/>
      </w:pPr>
      <w:r>
        <w:rPr>
          <w:b/>
          <w:sz w:val="28"/>
          <w:rFonts w:ascii="Times New Roman" w:hAnsi="Times New Roman"/>
        </w:rPr>
        <w:t xml:space="preserve">I - XII 2025.</w:t>
      </w:r>
    </w:p>
    <w:p/>
    <w:p>
      <w:pPr>
        <w:jc w:val="center"/>
        <w:pStyle w:val="Normal"/>
        <w:spacing w:line="240" w:lineRule="auto"/>
        <w:keepNext/>
      </w:pPr>
      <w:r>
        <w:rPr>
          <w:b/>
          <w:sz w:val="28"/>
          <w:rFonts w:ascii="Times New Roman" w:hAnsi="Times New Roman"/>
        </w:rPr>
        <w:t xml:space="preserve">Izvještaj o prihodima i rashodima, primicima i izdacima</w:t>
      </w:r>
    </w:p>
    <w:p>
      <w:pPr>
        <w:jc w:val="center"/>
        <w:pStyle w:val="Normal"/>
        <w:spacing w:line="240" w:lineRule="auto"/>
        <w:keepNext/>
      </w:pPr>
      <w:r>
        <w:rPr>
          <w:sz w:val="28"/>
          <w:rFonts w:ascii="Times New Roman" w:hAnsi="Times New Roman"/>
        </w:rPr>
        <w:t xml:space="preserve">Bilješka 1.</w:t>
      </w:r>
    </w:p>
    <w:tbl>
      <w:tblPr>
        <w:tblBorders>
          <w:top w:val="single" w:color="BABABA" w:sz="12"/>
          <w:bottom w:val="single" w:color="BABABA" w:sz="12"/>
          <w:left w:val="single" w:color="BABABA" w:sz="12"/>
          <w:right w:val="single" w:color="BABABA" w:sz="12"/>
          <w:insideH w:val="single" w:color="BABABA" w:sz="8"/>
          <w:insideV w:val="single" w:color="DADADA" w:sz="8"/>
        </w:tblBorders>
        <w:tblW w:w="0" w:type="auto"/>
        <w:tblLayout w:type="fixed"/>
        <w:tblCellMar>
          <w:left w:w="40" w:type="dxa"/>
          <w:right w:w="40" w:type="dxa"/>
        </w:tblCellMar>
      </w:tblPr>
      <w:tblGrid>
        <w:gridCol w:w="700"/>
        <w:gridCol w:w="3180"/>
        <w:gridCol w:w="700"/>
        <w:gridCol w:w="1860"/>
        <w:gridCol w:w="1860"/>
        <w:gridCol w:w="700"/>
      </w:tblGrid>
      <w:tr>
        <w:trPr>
          <w:cantSplit/>
        </w:trPr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Račun iz rač. plana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Opis stavke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Šifra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prethodne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tekuće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Indeks (%)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6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PRIHODI POSLOVANJA (šifre 61+62+63+64+65+66+67+68)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6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4.596.407,75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5.658.787,71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123,1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3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RASHODI POSLOVANJA (šifre 31+32+34+35+36+37+38) 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3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4.422.252,25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5.789.545,89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130,9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 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MANJAK PRIHODA POSLOVANJA (šifre Z005-6)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Y001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0,00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130.758,18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-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7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Prihodi od prodaje nefinancijske imovine (šifre 71+72+73+74)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7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0,00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0,00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-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4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Rashodi za nabavu nefinancijske imovine (šifre 41+42+43+44+45)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4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67.441,82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55.644,57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82,5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 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MANJAK PRIHODA OD NEFINANCIJSKE IMOVINE (šifre 4-7)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Y002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67.441,82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55.644,57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82,5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8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Primici od financijske imovine i zaduživanja (šifre 81+82+83+84+85)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8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0,00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0,00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-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5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Izdaci za financijsku imovinu i otplate zajmova (šifre 51+52+53+54+55)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5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0,00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0,00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-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 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VIŠAK/MANJAK PRIMITAKA OD FINANCIJSKE IMOVINE I ZADUŽIVANJA (šifre 8-5, 5-8)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X003, Y003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0,00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0,00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-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 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MANJAK PRIHODA I PRIMITAKA (šifre Y345-X678)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Y005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0,00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186.402,75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-</w:t>
            </w:r>
          </w:p>
        </w:tc>
      </w:tr>
    </w:tbl>
    <w:p>
      <w:pPr>
        <w:spacing w:before="0" w:after="0"/>
      </w:pPr>
    </w:p>
    <w:p>
      <w:r>
        <w:t xml:space="preserve">U razdoblju od 1. siječnja do 31. prosinca 2025. godine prihodi poslovanja ostvareni su u iznosu od 5.658.787,71 EUR. U odnosu na isto izvještajno razdoblje prethodne godine ukupni prihodi poslovanja povećali su se za 23 %. Najznačajnije povećanje prihoda poslovanja ostvareno je iz nadležnog proračuna.</w:t>
      </w:r>
    </w:p>
    <w:p>
      <w:r>
        <w:t xml:space="preserve">Rashodi poslovanja u razdoblju od 1. siječnja do 31. prosinca 2025. godine ostvareni su u iznosu od 5.789.545,89 EUR što je 31 % više u odnosu na izvještajno razdoblje prethodne godine.</w:t>
      </w:r>
    </w:p>
    <w:p>
      <w:r>
        <w:t xml:space="preserve">Do povećanja prihoda i rashoda  došlo je zbog reforme sustava plaća u državnim i  javnim službama, zbog provedbe većeg broja reakreditacija visokih učilišta i inicijalnih akreditacija studijskih programa nego u prethodnoj godini, zbog povećanja naknada za rad članovima matičnih odbora, te zbog toga što Agencija tijekom 2024. godine potpisuje partnerski sporazum s CARNET -om, te sudjeluje na pripremi i provedbi projekta „Cjelovita informatizacija sustava odgoja i obrazovanja – CISOO“ u okviru programa „Učinkoviti ljudski potencijali 2021. – 2027.“  Unutar istog okvirnog programa Agencija je u 2024. godini započela provedbu projekta pod nazivom “Osiguravanje kvalitete u visokom obrazovanju“ iz izvora financiranja ESF+.</w:t>
      </w:r>
    </w:p>
    <w:p>
      <w:r>
        <w:t xml:space="preserve">U navedenom razdoblju nema ostvarenih prihoda od prodaje nefinancijske imovine, dok su rashodi za nabavu nefinancijske imovine ostvareni u iznosu od 55.644,57 EUR. Navedeni rashodi odnose se na nabavu licenci, uredskog namještaja, računala i računalne opreme.</w:t>
      </w:r>
    </w:p>
    <w:p>
      <w:r>
        <w:t xml:space="preserve">U istom razdoblju nema niti ostvarenih primitaka i izdataka od financijske imovine i zaduživanja.</w:t>
      </w:r>
    </w:p>
    <w:p>
      <w:r>
        <w:t xml:space="preserve">U razdoblju od 1. siječnja do 31. prosinca 2025. godine iskazan je ukupni manjak prihoda u iznosu od 186.402,75 EUR koji se sastoji od manjka prihoda poslovanja (130.758,18 EUR) i manjka prihoda od nefinancijske imovine (55.644,57  EUR). Do iskazanog manjka dolazi zbog nedospjelih obveza čiji je trošak evidentiran u izvještajnom razdoblju.</w:t>
      </w:r>
    </w:p>
    <w:p>
      <w:r>
        <w:br/>
      </w:r>
    </w:p>
    <w:p>
      <w:pPr>
        <w:jc w:val="center"/>
        <w:pStyle w:val="Normal"/>
        <w:spacing w:line="240" w:lineRule="auto"/>
        <w:keepNext/>
      </w:pPr>
      <w:r>
        <w:rPr>
          <w:sz w:val="28"/>
          <w:rFonts w:ascii="Times New Roman" w:hAnsi="Times New Roman"/>
        </w:rPr>
        <w:t xml:space="preserve">Bilješka 2.</w:t>
      </w:r>
    </w:p>
    <w:tbl>
      <w:tblPr>
        <w:tblBorders>
          <w:top w:val="single" w:color="BABABA" w:sz="12"/>
          <w:bottom w:val="single" w:color="BABABA" w:sz="12"/>
          <w:left w:val="single" w:color="BABABA" w:sz="12"/>
          <w:right w:val="single" w:color="BABABA" w:sz="12"/>
          <w:insideH w:val="single" w:color="BABABA" w:sz="8"/>
          <w:insideV w:val="single" w:color="DADADA" w:sz="8"/>
        </w:tblBorders>
        <w:tblW w:w="9000" w:type="dxa"/>
        <w:tblLayout w:type="fixed"/>
        <w:tblCellMar>
          <w:left w:w="40" w:type="dxa"/>
          <w:right w:w="40" w:type="dxa"/>
        </w:tblCellMar>
      </w:tblPr>
      <w:tblGrid>
        <w:gridCol w:w="700"/>
        <w:gridCol w:w="3180"/>
        <w:gridCol w:w="700"/>
        <w:gridCol w:w="1860"/>
        <w:gridCol w:w="1860"/>
        <w:gridCol w:w="700"/>
      </w:tblGrid>
      <w:tr>
        <w:trPr>
          <w:cantSplit/>
        </w:trPr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Račun iz rač. plana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Opis stavke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Šifra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prethodne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tekuće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Indeks (%)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6711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Prihodi iz nadležnog proračuna za financiranje rashoda poslovanja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6711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4.183.539,51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5.476.971,94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130,9</w:t>
            </w:r>
          </w:p>
        </w:tc>
      </w:tr>
    </w:tbl>
    <w:p>
      <w:pPr>
        <w:spacing w:before="0" w:after="0"/>
      </w:pPr>
    </w:p>
    <w:p>
      <w:r>
        <w:t xml:space="preserve">Do povećanja prihoda na ovoj stavci došlo je zbog reforme sustava plaća u državnim i  javnim službama, zbog provedbe većeg broja reakreditacija visokih učilišta i inicijalnih akreditacija studijskih programa nego u prethodnoj godini, te zbog povećanja naknada za rad članovima matičnih odbora. Na povećanje prihoda utjecalo je i to što Agencija tijekom 2024. godine potpisuje partnerski sporazum s CARNET -om, te sudjeluje na pripremi i provedbi projekta „Cjelovita informatizacija sustava odgoja i obrazovanja – CISOO“ u okviru programa „Učinkoviti ljudski potencijali 2021. – 2027.“  Unutar istog okvirnog programa Agencija je u 2024. godini započela provedbu projekta pod nazivom “Osiguravanje kvalitete u visokom obrazovanju“ iz izvora financiranja ESF+.</w:t>
      </w:r>
    </w:p>
    <w:p/>
    <w:p>
      <w:pPr>
        <w:jc w:val="center"/>
        <w:pStyle w:val="Normal"/>
        <w:spacing w:line="240" w:lineRule="auto"/>
        <w:keepNext/>
      </w:pPr>
      <w:r>
        <w:rPr>
          <w:sz w:val="28"/>
          <w:rFonts w:ascii="Times New Roman" w:hAnsi="Times New Roman"/>
        </w:rPr>
        <w:t xml:space="preserve">Bilješka 3.</w:t>
      </w:r>
    </w:p>
    <w:tbl>
      <w:tblPr>
        <w:tblBorders>
          <w:top w:val="single" w:color="BABABA" w:sz="12"/>
          <w:bottom w:val="single" w:color="BABABA" w:sz="12"/>
          <w:left w:val="single" w:color="BABABA" w:sz="12"/>
          <w:right w:val="single" w:color="BABABA" w:sz="12"/>
          <w:insideH w:val="single" w:color="BABABA" w:sz="8"/>
          <w:insideV w:val="single" w:color="DADADA" w:sz="8"/>
        </w:tblBorders>
        <w:tblW w:w="9000" w:type="dxa"/>
        <w:tblLayout w:type="fixed"/>
        <w:tblCellMar>
          <w:left w:w="40" w:type="dxa"/>
          <w:right w:w="40" w:type="dxa"/>
        </w:tblCellMar>
      </w:tblPr>
      <w:tblGrid>
        <w:gridCol w:w="700"/>
        <w:gridCol w:w="3180"/>
        <w:gridCol w:w="700"/>
        <w:gridCol w:w="1860"/>
        <w:gridCol w:w="1860"/>
        <w:gridCol w:w="700"/>
      </w:tblGrid>
      <w:tr>
        <w:trPr>
          <w:cantSplit/>
        </w:trPr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Račun iz rač. plana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Opis stavke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Šifra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prethodne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tekuće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Indeks (%)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31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Rashodi za zaposlene (šifre 311+312+313)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31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2.407.910,01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2.963.161,72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123,1</w:t>
            </w:r>
          </w:p>
        </w:tc>
      </w:tr>
    </w:tbl>
    <w:p>
      <w:pPr>
        <w:spacing w:before="0" w:after="0"/>
      </w:pPr>
    </w:p>
    <w:p>
      <w:r>
        <w:t xml:space="preserve">Do povećanja rashoda na ovoj stavci došlo je zbog reforme sustava plaća u državnim i javnim službama.</w:t>
      </w:r>
    </w:p>
    <w:p/>
    <w:p>
      <w:pPr>
        <w:jc w:val="center"/>
        <w:pStyle w:val="Normal"/>
        <w:spacing w:line="240" w:lineRule="auto"/>
        <w:keepNext/>
      </w:pPr>
      <w:r>
        <w:rPr>
          <w:sz w:val="28"/>
          <w:rFonts w:ascii="Times New Roman" w:hAnsi="Times New Roman"/>
        </w:rPr>
        <w:t xml:space="preserve">Bilješka 4.</w:t>
      </w:r>
    </w:p>
    <w:tbl>
      <w:tblPr>
        <w:tblBorders>
          <w:top w:val="single" w:color="BABABA" w:sz="12"/>
          <w:bottom w:val="single" w:color="BABABA" w:sz="12"/>
          <w:left w:val="single" w:color="BABABA" w:sz="12"/>
          <w:right w:val="single" w:color="BABABA" w:sz="12"/>
          <w:insideH w:val="single" w:color="BABABA" w:sz="8"/>
          <w:insideV w:val="single" w:color="DADADA" w:sz="8"/>
        </w:tblBorders>
        <w:tblW w:w="9000" w:type="dxa"/>
        <w:tblLayout w:type="fixed"/>
        <w:tblCellMar>
          <w:left w:w="40" w:type="dxa"/>
          <w:right w:w="40" w:type="dxa"/>
        </w:tblCellMar>
      </w:tblPr>
      <w:tblGrid>
        <w:gridCol w:w="700"/>
        <w:gridCol w:w="3180"/>
        <w:gridCol w:w="700"/>
        <w:gridCol w:w="1860"/>
        <w:gridCol w:w="1860"/>
        <w:gridCol w:w="700"/>
      </w:tblGrid>
      <w:tr>
        <w:trPr>
          <w:cantSplit/>
        </w:trPr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Račun iz rač. plana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Opis stavke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Šifra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prethodne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tekuće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Indeks (%)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3211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Službena putovanja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3211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92.068,38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137.183,86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149,0</w:t>
            </w:r>
          </w:p>
        </w:tc>
      </w:tr>
    </w:tbl>
    <w:p>
      <w:pPr>
        <w:spacing w:before="0" w:after="0"/>
      </w:pPr>
    </w:p>
    <w:p>
      <w:r>
        <w:t xml:space="preserve">Do povećanja rashoda na ovoj stavci došlo je zbog prisustvovanja zaposlenika većem broju edukacija i konferencija prema planu projekta ESF+.</w:t>
      </w:r>
    </w:p>
    <w:p/>
    <w:p>
      <w:pPr>
        <w:jc w:val="center"/>
        <w:pStyle w:val="Normal"/>
        <w:spacing w:line="240" w:lineRule="auto"/>
        <w:keepNext/>
      </w:pPr>
      <w:r>
        <w:rPr>
          <w:sz w:val="28"/>
          <w:rFonts w:ascii="Times New Roman" w:hAnsi="Times New Roman"/>
        </w:rPr>
        <w:t xml:space="preserve">Bilješka 5.</w:t>
      </w:r>
    </w:p>
    <w:tbl>
      <w:tblPr>
        <w:tblBorders>
          <w:top w:val="single" w:color="BABABA" w:sz="12"/>
          <w:bottom w:val="single" w:color="BABABA" w:sz="12"/>
          <w:left w:val="single" w:color="BABABA" w:sz="12"/>
          <w:right w:val="single" w:color="BABABA" w:sz="12"/>
          <w:insideH w:val="single" w:color="BABABA" w:sz="8"/>
          <w:insideV w:val="single" w:color="DADADA" w:sz="8"/>
        </w:tblBorders>
        <w:tblW w:w="9000" w:type="dxa"/>
        <w:tblLayout w:type="fixed"/>
        <w:tblCellMar>
          <w:left w:w="40" w:type="dxa"/>
          <w:right w:w="40" w:type="dxa"/>
        </w:tblCellMar>
      </w:tblPr>
      <w:tblGrid>
        <w:gridCol w:w="700"/>
        <w:gridCol w:w="3180"/>
        <w:gridCol w:w="700"/>
        <w:gridCol w:w="1860"/>
        <w:gridCol w:w="1860"/>
        <w:gridCol w:w="700"/>
      </w:tblGrid>
      <w:tr>
        <w:trPr>
          <w:cantSplit/>
        </w:trPr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Račun iz rač. plana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Opis stavke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Šifra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prethodne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tekuće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Indeks (%)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3233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Usluge promidžbe i informiranja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3233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15.130,96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36.666,19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242,3</w:t>
            </w:r>
          </w:p>
        </w:tc>
      </w:tr>
    </w:tbl>
    <w:p>
      <w:pPr>
        <w:spacing w:before="0" w:after="0"/>
      </w:pPr>
    </w:p>
    <w:p>
      <w:r>
        <w:t xml:space="preserve">Do povećanja rashoda na ovoj stavci došlo je zbog potrebe promidžbe projektnih aktivnosti prema planu projekta AZVOK (ESF+).</w:t>
      </w:r>
    </w:p>
    <w:p/>
    <w:p>
      <w:pPr>
        <w:jc w:val="center"/>
        <w:pStyle w:val="Normal"/>
        <w:spacing w:line="240" w:lineRule="auto"/>
        <w:keepNext/>
      </w:pPr>
      <w:r>
        <w:rPr>
          <w:sz w:val="28"/>
          <w:rFonts w:ascii="Times New Roman" w:hAnsi="Times New Roman"/>
        </w:rPr>
        <w:t xml:space="preserve">Bilješka 6.</w:t>
      </w:r>
    </w:p>
    <w:tbl>
      <w:tblPr>
        <w:tblBorders>
          <w:top w:val="single" w:color="BABABA" w:sz="12"/>
          <w:bottom w:val="single" w:color="BABABA" w:sz="12"/>
          <w:left w:val="single" w:color="BABABA" w:sz="12"/>
          <w:right w:val="single" w:color="BABABA" w:sz="12"/>
          <w:insideH w:val="single" w:color="BABABA" w:sz="8"/>
          <w:insideV w:val="single" w:color="DADADA" w:sz="8"/>
        </w:tblBorders>
        <w:tblW w:w="9000" w:type="dxa"/>
        <w:tblLayout w:type="fixed"/>
        <w:tblCellMar>
          <w:left w:w="40" w:type="dxa"/>
          <w:right w:w="40" w:type="dxa"/>
        </w:tblCellMar>
      </w:tblPr>
      <w:tblGrid>
        <w:gridCol w:w="700"/>
        <w:gridCol w:w="3180"/>
        <w:gridCol w:w="700"/>
        <w:gridCol w:w="1860"/>
        <w:gridCol w:w="1860"/>
        <w:gridCol w:w="700"/>
      </w:tblGrid>
      <w:tr>
        <w:trPr>
          <w:cantSplit/>
        </w:trPr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Račun iz rač. plana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Opis stavke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Šifra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prethodne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tekuće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Indeks (%)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3237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Intelektualne i osobne usluge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3237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599.571,29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862.587,30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143,9</w:t>
            </w:r>
          </w:p>
        </w:tc>
      </w:tr>
    </w:tbl>
    <w:p>
      <w:pPr>
        <w:spacing w:before="0" w:after="0"/>
      </w:pPr>
    </w:p>
    <w:p>
      <w:r>
        <w:t xml:space="preserve">Do povećanja rashoda na ovoj stavci došlo je zbog provedbe  većeg broja reakreditacija visokih učilišta i inicijalnih akreditacija studijskih programa u odnosu na prošlu godinu, a samim time došlo je do povećanja isplata naknada za rad recenzentima koji sudjeluju u  navedenim postupcima.</w:t>
      </w:r>
    </w:p>
    <w:p/>
    <w:p>
      <w:pPr>
        <w:jc w:val="center"/>
        <w:pStyle w:val="Normal"/>
        <w:spacing w:line="240" w:lineRule="auto"/>
        <w:keepNext/>
      </w:pPr>
      <w:r>
        <w:rPr>
          <w:sz w:val="28"/>
          <w:rFonts w:ascii="Times New Roman" w:hAnsi="Times New Roman"/>
        </w:rPr>
        <w:t xml:space="preserve">Bilješka 7.</w:t>
      </w:r>
    </w:p>
    <w:tbl>
      <w:tblPr>
        <w:tblBorders>
          <w:top w:val="single" w:color="BABABA" w:sz="12"/>
          <w:bottom w:val="single" w:color="BABABA" w:sz="12"/>
          <w:left w:val="single" w:color="BABABA" w:sz="12"/>
          <w:right w:val="single" w:color="BABABA" w:sz="12"/>
          <w:insideH w:val="single" w:color="BABABA" w:sz="8"/>
          <w:insideV w:val="single" w:color="DADADA" w:sz="8"/>
        </w:tblBorders>
        <w:tblW w:w="9000" w:type="dxa"/>
        <w:tblLayout w:type="fixed"/>
        <w:tblCellMar>
          <w:left w:w="40" w:type="dxa"/>
          <w:right w:w="40" w:type="dxa"/>
        </w:tblCellMar>
      </w:tblPr>
      <w:tblGrid>
        <w:gridCol w:w="700"/>
        <w:gridCol w:w="3180"/>
        <w:gridCol w:w="700"/>
        <w:gridCol w:w="1860"/>
        <w:gridCol w:w="1860"/>
        <w:gridCol w:w="700"/>
      </w:tblGrid>
      <w:tr>
        <w:trPr>
          <w:cantSplit/>
        </w:trPr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Račun iz rač. plana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Opis stavke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Šifra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prethodne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tekuće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Indeks (%)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3239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Ostale usluge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3239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60.493,64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78.073,96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129,1</w:t>
            </w:r>
          </w:p>
        </w:tc>
      </w:tr>
    </w:tbl>
    <w:p>
      <w:pPr>
        <w:spacing w:before="0" w:after="0"/>
      </w:pPr>
    </w:p>
    <w:p>
      <w:r>
        <w:t xml:space="preserve">Do povećanja rashoda na ovoj stavci došlo je zbog povećanja tržišnih cijena usluga čuvanja imovine, arhiviranja i čišćenja.</w:t>
      </w:r>
    </w:p>
    <w:p/>
    <w:p>
      <w:pPr>
        <w:jc w:val="center"/>
        <w:pStyle w:val="Normal"/>
        <w:spacing w:line="240" w:lineRule="auto"/>
        <w:keepNext/>
      </w:pPr>
      <w:r>
        <w:rPr>
          <w:sz w:val="28"/>
          <w:rFonts w:ascii="Times New Roman" w:hAnsi="Times New Roman"/>
        </w:rPr>
        <w:t xml:space="preserve">Bilješka 8.</w:t>
      </w:r>
    </w:p>
    <w:tbl>
      <w:tblPr>
        <w:tblBorders>
          <w:top w:val="single" w:color="BABABA" w:sz="12"/>
          <w:bottom w:val="single" w:color="BABABA" w:sz="12"/>
          <w:left w:val="single" w:color="BABABA" w:sz="12"/>
          <w:right w:val="single" w:color="BABABA" w:sz="12"/>
          <w:insideH w:val="single" w:color="BABABA" w:sz="8"/>
          <w:insideV w:val="single" w:color="DADADA" w:sz="8"/>
        </w:tblBorders>
        <w:tblW w:w="9000" w:type="dxa"/>
        <w:tblLayout w:type="fixed"/>
        <w:tblCellMar>
          <w:left w:w="40" w:type="dxa"/>
          <w:right w:w="40" w:type="dxa"/>
        </w:tblCellMar>
      </w:tblPr>
      <w:tblGrid>
        <w:gridCol w:w="700"/>
        <w:gridCol w:w="3180"/>
        <w:gridCol w:w="700"/>
        <w:gridCol w:w="1860"/>
        <w:gridCol w:w="1860"/>
        <w:gridCol w:w="700"/>
      </w:tblGrid>
      <w:tr>
        <w:trPr>
          <w:cantSplit/>
        </w:trPr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Račun iz rač. plana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Opis stavke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Šifra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prethodne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tekuće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Indeks (%)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324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Naknade troškova osobama izvan radnog odnosa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324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181.028,91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233.084,42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128,8</w:t>
            </w:r>
          </w:p>
        </w:tc>
      </w:tr>
    </w:tbl>
    <w:p>
      <w:pPr>
        <w:spacing w:before="0" w:after="0"/>
      </w:pPr>
    </w:p>
    <w:p>
      <w:r>
        <w:t xml:space="preserve">Do povećanja rashoda na ovoj stavci došlo je zbog provedbe  većeg broja reakreditacija visokih učilišta i inicijalnih akreditacija studijskih programa u odnosu na prošlu godinu, a samim time došlo je do povećanja putnih troškova recenzenata koji sudjeluju u  navedenim postupcima.</w:t>
      </w:r>
    </w:p>
    <w:p/>
    <w:p>
      <w:pPr>
        <w:jc w:val="center"/>
        <w:pStyle w:val="Normal"/>
        <w:spacing w:line="240" w:lineRule="auto"/>
        <w:keepNext/>
      </w:pPr>
      <w:r>
        <w:rPr>
          <w:sz w:val="28"/>
          <w:rFonts w:ascii="Times New Roman" w:hAnsi="Times New Roman"/>
        </w:rPr>
        <w:t xml:space="preserve">Bilješka 9.</w:t>
      </w:r>
    </w:p>
    <w:tbl>
      <w:tblPr>
        <w:tblBorders>
          <w:top w:val="single" w:color="BABABA" w:sz="12"/>
          <w:bottom w:val="single" w:color="BABABA" w:sz="12"/>
          <w:left w:val="single" w:color="BABABA" w:sz="12"/>
          <w:right w:val="single" w:color="BABABA" w:sz="12"/>
          <w:insideH w:val="single" w:color="BABABA" w:sz="8"/>
          <w:insideV w:val="single" w:color="DADADA" w:sz="8"/>
        </w:tblBorders>
        <w:tblW w:w="9000" w:type="dxa"/>
        <w:tblLayout w:type="fixed"/>
        <w:tblCellMar>
          <w:left w:w="40" w:type="dxa"/>
          <w:right w:w="40" w:type="dxa"/>
        </w:tblCellMar>
      </w:tblPr>
      <w:tblGrid>
        <w:gridCol w:w="700"/>
        <w:gridCol w:w="3180"/>
        <w:gridCol w:w="700"/>
        <w:gridCol w:w="1860"/>
        <w:gridCol w:w="1860"/>
        <w:gridCol w:w="700"/>
      </w:tblGrid>
      <w:tr>
        <w:trPr>
          <w:cantSplit/>
        </w:trPr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Račun iz rač. plana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Opis stavke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Šifra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prethodne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tekuće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Indeks (%)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3291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Naknade za rad predstavničkih i izvršnih tijela, povjerenstava i slično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3291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505.348,65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864.218,49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171,0</w:t>
            </w:r>
          </w:p>
        </w:tc>
      </w:tr>
    </w:tbl>
    <w:p>
      <w:pPr>
        <w:spacing w:before="0" w:after="0"/>
      </w:pPr>
    </w:p>
    <w:p>
      <w:r>
        <w:t xml:space="preserve">Do povećanja rashoda na ovoj stavci došlo je zbog povećanja naknada za rad članovima matičnih odbora.</w:t>
      </w:r>
    </w:p>
    <w:p/>
    <w:p>
      <w:pPr>
        <w:jc w:val="center"/>
        <w:pStyle w:val="Normal"/>
        <w:spacing w:line="240" w:lineRule="auto"/>
        <w:keepNext/>
      </w:pPr>
      <w:r>
        <w:rPr>
          <w:sz w:val="28"/>
          <w:rFonts w:ascii="Times New Roman" w:hAnsi="Times New Roman"/>
        </w:rPr>
        <w:t xml:space="preserve">Bilješka 10.</w:t>
      </w:r>
    </w:p>
    <w:tbl>
      <w:tblPr>
        <w:tblBorders>
          <w:top w:val="single" w:color="BABABA" w:sz="12"/>
          <w:bottom w:val="single" w:color="BABABA" w:sz="12"/>
          <w:left w:val="single" w:color="BABABA" w:sz="12"/>
          <w:right w:val="single" w:color="BABABA" w:sz="12"/>
          <w:insideH w:val="single" w:color="BABABA" w:sz="8"/>
          <w:insideV w:val="single" w:color="DADADA" w:sz="8"/>
        </w:tblBorders>
        <w:tblW w:w="9000" w:type="dxa"/>
        <w:tblLayout w:type="fixed"/>
        <w:tblCellMar>
          <w:left w:w="40" w:type="dxa"/>
          <w:right w:w="40" w:type="dxa"/>
        </w:tblCellMar>
      </w:tblPr>
      <w:tblGrid>
        <w:gridCol w:w="700"/>
        <w:gridCol w:w="3180"/>
        <w:gridCol w:w="700"/>
        <w:gridCol w:w="1860"/>
        <w:gridCol w:w="1860"/>
        <w:gridCol w:w="700"/>
      </w:tblGrid>
      <w:tr>
        <w:trPr>
          <w:cantSplit/>
        </w:trPr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Račun iz rač. plana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Opis stavke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Šifra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prethodne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tekuće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Indeks (%)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3293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Reprezentacija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3293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41.776,68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60.572,14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145,0</w:t>
            </w:r>
          </w:p>
        </w:tc>
      </w:tr>
    </w:tbl>
    <w:p>
      <w:pPr>
        <w:spacing w:before="0" w:after="0"/>
      </w:pPr>
    </w:p>
    <w:p>
      <w:r>
        <w:t xml:space="preserve">Do povećanja rashoda na ovoj stavci došlo je zbog provedbe  većeg broja reakreditacija visokih učilišta i inicijalnih akreditacija studijskih programa u odnosu na prošlu godinu.</w:t>
      </w:r>
    </w:p>
    <w:p/>
    <w:p>
      <w:pPr>
        <w:jc w:val="center"/>
        <w:pStyle w:val="Normal"/>
        <w:spacing w:line="240" w:lineRule="auto"/>
        <w:keepNext/>
      </w:pPr>
      <w:r>
        <w:rPr>
          <w:b/>
          <w:sz w:val="28"/>
          <w:rFonts w:ascii="Times New Roman" w:hAnsi="Times New Roman"/>
        </w:rPr>
        <w:t xml:space="preserve">Bilanca</w:t>
      </w:r>
    </w:p>
    <w:p>
      <w:pPr>
        <w:jc w:val="center"/>
        <w:pStyle w:val="Normal"/>
        <w:spacing w:line="240" w:lineRule="auto"/>
        <w:keepNext/>
      </w:pPr>
      <w:r>
        <w:rPr>
          <w:sz w:val="28"/>
          <w:rFonts w:ascii="Times New Roman" w:hAnsi="Times New Roman"/>
        </w:rPr>
        <w:t xml:space="preserve">Bilješka 11.</w:t>
      </w:r>
    </w:p>
    <w:tbl>
      <w:tblPr>
        <w:tblBorders>
          <w:top w:val="single" w:color="BABABA" w:sz="12"/>
          <w:bottom w:val="single" w:color="BABABA" w:sz="12"/>
          <w:left w:val="single" w:color="BABABA" w:sz="12"/>
          <w:right w:val="single" w:color="BABABA" w:sz="12"/>
          <w:insideH w:val="single" w:color="BABABA" w:sz="8"/>
          <w:insideV w:val="single" w:color="DADADA" w:sz="8"/>
        </w:tblBorders>
        <w:tblW w:w="9000" w:type="dxa"/>
        <w:tblLayout w:type="fixed"/>
        <w:tblCellMar>
          <w:left w:w="40" w:type="dxa"/>
          <w:right w:w="40" w:type="dxa"/>
        </w:tblCellMar>
      </w:tblPr>
      <w:tblGrid>
        <w:gridCol w:w="700"/>
        <w:gridCol w:w="3180"/>
        <w:gridCol w:w="700"/>
        <w:gridCol w:w="1860"/>
        <w:gridCol w:w="1860"/>
        <w:gridCol w:w="700"/>
      </w:tblGrid>
      <w:tr>
        <w:trPr>
          <w:cantSplit/>
        </w:trPr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Račun iz rač. plana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Opis stavke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Šifra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Stanje 1. siječnja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Stanje 31. prosinca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Indeks (%)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167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Potraživanja proračunskih korisnika za sredstva uplaćena u nadležni proračun i za prihode od HZZO-a na temelju ugovornih obveza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167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271.525,65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321.133,07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118,3</w:t>
            </w:r>
          </w:p>
        </w:tc>
      </w:tr>
    </w:tbl>
    <w:p>
      <w:pPr>
        <w:spacing w:before="0" w:after="0"/>
      </w:pPr>
    </w:p>
    <w:p>
      <w:r>
        <w:t xml:space="preserve">Na ovoj stavci došlo je do promjene u stanju u odnosu na prethodno razdoblje zbog ostvarenja vlastitih prihoda od vrednovanja združenih studija, te zbog povećanja uplata za postupak vrednovanja inozemnih visokoškolskih kvalifikacija u svrhu pristupa tržištu rada u RH., te zbog uplate Erasmus+ projekata.</w:t>
      </w:r>
    </w:p>
    <w:p/>
    <w:p>
      <w:pPr>
        <w:jc w:val="center"/>
        <w:pStyle w:val="Normal"/>
        <w:spacing w:line="240" w:lineRule="auto"/>
        <w:keepNext/>
      </w:pPr>
      <w:r>
        <w:rPr>
          <w:sz w:val="28"/>
          <w:rFonts w:ascii="Times New Roman" w:hAnsi="Times New Roman"/>
        </w:rPr>
        <w:t xml:space="preserve">Bilješka 12.</w:t>
      </w:r>
    </w:p>
    <w:tbl>
      <w:tblPr>
        <w:tblBorders>
          <w:top w:val="single" w:color="BABABA" w:sz="12"/>
          <w:bottom w:val="single" w:color="BABABA" w:sz="12"/>
          <w:left w:val="single" w:color="BABABA" w:sz="12"/>
          <w:right w:val="single" w:color="BABABA" w:sz="12"/>
          <w:insideH w:val="single" w:color="BABABA" w:sz="8"/>
          <w:insideV w:val="single" w:color="DADADA" w:sz="8"/>
        </w:tblBorders>
        <w:tblW w:w="9000" w:type="dxa"/>
        <w:tblLayout w:type="fixed"/>
        <w:tblCellMar>
          <w:left w:w="40" w:type="dxa"/>
          <w:right w:w="40" w:type="dxa"/>
        </w:tblCellMar>
      </w:tblPr>
      <w:tblGrid>
        <w:gridCol w:w="700"/>
        <w:gridCol w:w="3180"/>
        <w:gridCol w:w="700"/>
        <w:gridCol w:w="1860"/>
        <w:gridCol w:w="1860"/>
        <w:gridCol w:w="700"/>
      </w:tblGrid>
      <w:tr>
        <w:trPr>
          <w:cantSplit/>
        </w:trPr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Račun iz rač. plana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Opis stavke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Šifra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Stanje 1. siječnja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Stanje 31. prosinca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Indeks (%)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193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Kontinuirani rashodi budućih razdoblja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193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207.820,33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0,00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0</w:t>
            </w:r>
          </w:p>
        </w:tc>
      </w:tr>
    </w:tbl>
    <w:p>
      <w:pPr>
        <w:spacing w:before="0" w:after="0"/>
      </w:pPr>
    </w:p>
    <w:p>
      <w:r>
        <w:t xml:space="preserve">Prema Pravilniku o proračunskom računovodstvu i Računskom planu s danom 1. siječnja 2025. godine ukida se podskupina računa 193 i više se ne koristi za evidentiranje kontinuiranih rashoda. Kontinuirani rashodi su preneseni na razred 3.</w:t>
      </w:r>
    </w:p>
    <w:p/>
    <w:p>
      <w:pPr>
        <w:jc w:val="center"/>
        <w:pStyle w:val="Normal"/>
        <w:spacing w:line="240" w:lineRule="auto"/>
        <w:keepNext/>
      </w:pPr>
      <w:r>
        <w:rPr>
          <w:sz w:val="28"/>
          <w:rFonts w:ascii="Times New Roman" w:hAnsi="Times New Roman"/>
        </w:rPr>
        <w:t xml:space="preserve">Bilješka 13.</w:t>
      </w:r>
    </w:p>
    <w:tbl>
      <w:tblPr>
        <w:tblBorders>
          <w:top w:val="single" w:color="BABABA" w:sz="12"/>
          <w:bottom w:val="single" w:color="BABABA" w:sz="12"/>
          <w:left w:val="single" w:color="BABABA" w:sz="12"/>
          <w:right w:val="single" w:color="BABABA" w:sz="12"/>
          <w:insideH w:val="single" w:color="BABABA" w:sz="8"/>
          <w:insideV w:val="single" w:color="DADADA" w:sz="8"/>
        </w:tblBorders>
        <w:tblW w:w="9000" w:type="dxa"/>
        <w:tblLayout w:type="fixed"/>
        <w:tblCellMar>
          <w:left w:w="40" w:type="dxa"/>
          <w:right w:w="40" w:type="dxa"/>
        </w:tblCellMar>
      </w:tblPr>
      <w:tblGrid>
        <w:gridCol w:w="700"/>
        <w:gridCol w:w="3180"/>
        <w:gridCol w:w="700"/>
        <w:gridCol w:w="1860"/>
        <w:gridCol w:w="1860"/>
        <w:gridCol w:w="700"/>
      </w:tblGrid>
      <w:tr>
        <w:trPr>
          <w:cantSplit/>
        </w:trPr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Račun iz rač. plana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Opis stavke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Šifra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Stanje 1. siječnja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Stanje 31. prosinca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Indeks (%)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239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Ostale tekuće obveze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239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1.854,95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2.018,94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108,8</w:t>
            </w:r>
          </w:p>
        </w:tc>
      </w:tr>
    </w:tbl>
    <w:p>
      <w:pPr>
        <w:spacing w:before="0" w:after="0"/>
      </w:pPr>
    </w:p>
    <w:p>
      <w:r>
        <w:t xml:space="preserve">Stanje na dan 31. prosinca 2024. na osnovnim računima 23953 i 23958 preneseno je u početno stanje 1. siječnja 2025. na odgovarajuće novootvorene osnovne račune u okviru skupine 27.</w:t>
      </w:r>
    </w:p>
    <w:p/>
    <w:p>
      <w:pPr>
        <w:jc w:val="center"/>
        <w:pStyle w:val="Normal"/>
        <w:spacing w:line="240" w:lineRule="auto"/>
        <w:keepNext/>
      </w:pPr>
      <w:r>
        <w:rPr>
          <w:sz w:val="28"/>
          <w:rFonts w:ascii="Times New Roman" w:hAnsi="Times New Roman"/>
        </w:rPr>
        <w:t xml:space="preserve">Bilješka 14.</w:t>
      </w:r>
    </w:p>
    <w:tbl>
      <w:tblPr>
        <w:tblBorders>
          <w:top w:val="single" w:color="BABABA" w:sz="12"/>
          <w:bottom w:val="single" w:color="BABABA" w:sz="12"/>
          <w:left w:val="single" w:color="BABABA" w:sz="12"/>
          <w:right w:val="single" w:color="BABABA" w:sz="12"/>
          <w:insideH w:val="single" w:color="BABABA" w:sz="8"/>
          <w:insideV w:val="single" w:color="DADADA" w:sz="8"/>
        </w:tblBorders>
        <w:tblW w:w="9000" w:type="dxa"/>
        <w:tblLayout w:type="fixed"/>
        <w:tblCellMar>
          <w:left w:w="40" w:type="dxa"/>
          <w:right w:w="40" w:type="dxa"/>
        </w:tblCellMar>
      </w:tblPr>
      <w:tblGrid>
        <w:gridCol w:w="700"/>
        <w:gridCol w:w="3180"/>
        <w:gridCol w:w="700"/>
        <w:gridCol w:w="1860"/>
        <w:gridCol w:w="1860"/>
        <w:gridCol w:w="700"/>
      </w:tblGrid>
      <w:tr>
        <w:trPr>
          <w:cantSplit/>
        </w:trPr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Račun iz rač. plana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Opis stavke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Šifra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Stanje 1. siječnja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Stanje 31. prosinca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Indeks (%)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27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Obveze za predujmove, depozite, jamčevne pologe i tuđe prihode 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27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7.919,93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6.162,14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77,8</w:t>
            </w:r>
          </w:p>
        </w:tc>
      </w:tr>
    </w:tbl>
    <w:p>
      <w:pPr>
        <w:spacing w:before="0" w:after="0"/>
      </w:pPr>
    </w:p>
    <w:p>
      <w:r>
        <w:t xml:space="preserve">Stanje na dan 31. prosinca 2024. na osnovnim računima 23953 i 23958 preneseno je u početno stanje 1. siječnja 2025. na odgovarajuće novootvorene osnovne račune u okviru skupine 27.</w:t>
      </w:r>
    </w:p>
    <w:p/>
    <w:p>
      <w:pPr>
        <w:jc w:val="center"/>
        <w:pStyle w:val="Normal"/>
        <w:spacing w:line="240" w:lineRule="auto"/>
        <w:keepNext/>
      </w:pPr>
      <w:r>
        <w:rPr>
          <w:b/>
          <w:sz w:val="28"/>
          <w:rFonts w:ascii="Times New Roman" w:hAnsi="Times New Roman"/>
        </w:rPr>
        <w:t xml:space="preserve">Promjene u vrijednosti i obujmu imovine i obveza</w:t>
      </w:r>
    </w:p>
    <w:p>
      <w:pPr>
        <w:jc w:val="center"/>
        <w:pStyle w:val="Normal"/>
        <w:spacing w:line="240" w:lineRule="auto"/>
        <w:keepNext/>
      </w:pPr>
      <w:r>
        <w:rPr>
          <w:sz w:val="28"/>
          <w:rFonts w:ascii="Times New Roman" w:hAnsi="Times New Roman"/>
        </w:rPr>
        <w:t xml:space="preserve">Bilješka 15.</w:t>
      </w:r>
    </w:p>
    <w:tbl>
      <w:tblPr>
        <w:tblBorders>
          <w:top w:val="single" w:color="BABABA" w:sz="12"/>
          <w:bottom w:val="single" w:color="BABABA" w:sz="12"/>
          <w:left w:val="single" w:color="BABABA" w:sz="12"/>
          <w:right w:val="single" w:color="BABABA" w:sz="12"/>
          <w:insideH w:val="single" w:color="BABABA" w:sz="8"/>
          <w:insideV w:val="single" w:color="DADADA" w:sz="8"/>
        </w:tblBorders>
        <w:tblW w:w="9000" w:type="dxa"/>
        <w:tblLayout w:type="fixed"/>
        <w:tblCellMar>
          <w:left w:w="40" w:type="dxa"/>
          <w:right w:w="40" w:type="dxa"/>
        </w:tblCellMar>
      </w:tblPr>
      <w:tblGrid>
        <w:gridCol w:w="700"/>
        <w:gridCol w:w="3180"/>
        <w:gridCol w:w="700"/>
        <w:gridCol w:w="1860"/>
        <w:gridCol w:w="1860"/>
        <w:gridCol w:w="700"/>
      </w:tblGrid>
      <w:tr>
        <w:trPr>
          <w:cantSplit/>
        </w:trPr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Račun iz rač. plana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Opis stavke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Šifra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Iznos povećanja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Iznos smanjenja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Indeks (%)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 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Neproizvedena dugotrajna imovina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P002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0,00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82.360,94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-</w:t>
            </w:r>
          </w:p>
        </w:tc>
      </w:tr>
    </w:tbl>
    <w:p>
      <w:pPr>
        <w:spacing w:before="0" w:after="0"/>
      </w:pPr>
    </w:p>
    <w:p>
      <w:r>
        <w:t xml:space="preserve">Člankom 192. stavkom 7. podstavkom 3. Pravilnika o proračunskom računovodstvu i Računskom planu kao promjena u vrijednosti koja se iskazuje posredstvom podskupine 915 propisan je i ispravak vrijednosti imovine.</w:t>
      </w:r>
    </w:p>
    <w:p/>
    <w:p>
      <w:pPr>
        <w:jc w:val="center"/>
        <w:pStyle w:val="Normal"/>
        <w:spacing w:line="240" w:lineRule="auto"/>
        <w:keepNext/>
      </w:pPr>
      <w:r>
        <w:rPr>
          <w:b/>
          <w:sz w:val="28"/>
          <w:rFonts w:ascii="Times New Roman" w:hAnsi="Times New Roman"/>
        </w:rPr>
        <w:t xml:space="preserve">Izvještaj o obvezama</w:t>
      </w:r>
    </w:p>
    <w:p>
      <w:pPr>
        <w:jc w:val="center"/>
        <w:pStyle w:val="Normal"/>
        <w:spacing w:line="240" w:lineRule="auto"/>
        <w:keepNext/>
      </w:pPr>
      <w:r>
        <w:rPr>
          <w:sz w:val="28"/>
          <w:rFonts w:ascii="Times New Roman" w:hAnsi="Times New Roman"/>
        </w:rPr>
        <w:t xml:space="preserve">Bilješka 16.</w:t>
      </w:r>
    </w:p>
    <w:tbl>
      <w:tblPr>
        <w:tblBorders>
          <w:top w:val="single" w:color="BABABA" w:sz="12"/>
          <w:bottom w:val="single" w:color="BABABA" w:sz="12"/>
          <w:left w:val="single" w:color="BABABA" w:sz="12"/>
          <w:right w:val="single" w:color="BABABA" w:sz="12"/>
          <w:insideH w:val="single" w:color="BABABA" w:sz="8"/>
          <w:insideV w:val="single" w:color="DADADA" w:sz="8"/>
        </w:tblBorders>
        <w:tblW w:w="9000" w:type="dxa"/>
        <w:tblLayout w:type="fixed"/>
        <w:tblCellMar>
          <w:left w:w="40" w:type="dxa"/>
          <w:right w:w="40" w:type="dxa"/>
        </w:tblCellMar>
      </w:tblPr>
      <w:tblGrid>
        <w:gridCol w:w="700"/>
        <w:gridCol w:w="3180"/>
        <w:gridCol w:w="700"/>
        <w:gridCol w:w="1860"/>
        <w:gridCol w:w="700"/>
      </w:tblGrid>
      <w:tr>
        <w:trPr>
          <w:cantSplit/>
        </w:trPr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Račun iz rač. plana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Opis stavke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Šifra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Iznos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Indeks (%)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/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Stanje dospjelih obveza na kraju izvještajnog razdoblja (šifre V008+D23+D24 + 'D dio 25,26' + D27)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V007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0,00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-</w:t>
            </w:r>
          </w:p>
        </w:tc>
      </w:tr>
    </w:tbl>
    <w:p>
      <w:pPr>
        <w:spacing w:before="0" w:after="0"/>
      </w:pPr>
    </w:p>
    <w:p>
      <w:r>
        <w:t xml:space="preserve">Na kraju izvještajnog razdoblja Agencija za znanost i visoko obrazovanje nema dospjelih obveza.</w:t>
      </w:r>
    </w:p>
    <w:p/>
    <w:p>
      <w:pPr>
        <w:jc w:val="center"/>
        <w:pStyle w:val="Normal"/>
        <w:spacing w:line="240" w:lineRule="auto"/>
        <w:keepNext/>
      </w:pPr>
      <w:r>
        <w:rPr>
          <w:sz w:val="28"/>
          <w:rFonts w:ascii="Times New Roman" w:hAnsi="Times New Roman"/>
        </w:rPr>
        <w:t xml:space="preserve">Bilješka 17.</w:t>
      </w:r>
    </w:p>
    <w:p>
      <w:pPr>
        <w:jc w:val="both"/>
        <w:pStyle w:val="Normal"/>
        <w:spacing w:line="240" w:lineRule="auto"/>
      </w:pPr>
      <w:r>
        <w:rPr>
          <w:b/>
          <w:sz w:val="24"/>
          <w:rFonts w:ascii="Times New Roman" w:hAnsi="Times New Roman"/>
        </w:rPr>
        <w:t xml:space="preserve">EU izvještaj</w:t>
      </w:r>
    </w:p>
    <w:p>
      <w:r>
        <w:t xml:space="preserve">U izvještajnom razdoblju Agencija za znanost i visoko obrazovanje ostvarila je prihode poslovanja iz sredstava Europske unije u iznosu od 607.007,09 EUR, dok je iznos nacionalnog sufinanciranja iznosio 85.755,97 EUR.</w:t>
      </w:r>
    </w:p>
    <w:p>
      <w:r>
        <w:t xml:space="preserve">Rashodi poslovanja financirani sredstvima Europske unije u istom razdoblju iznosili su 571.714,44 EUR, dok su rashodi financirani iz nacionalnog sufinanciranja iznosili 82.465,18 EUR.</w:t>
      </w:r>
    </w:p>
    <w:p>
      <w:r>
        <w:t xml:space="preserve">EU izvještaj Agencije sastavljen je prema izvorima financiranja, kako slijedi:</w:t>
      </w:r>
    </w:p>
    <w:p>
      <w:r>
        <w:t xml:space="preserve">510 – Programi Unije,</w:t>
      </w:r>
      <w:r>
        <w:br/>
      </w:r>
      <w:r>
        <w:t xml:space="preserve">561 – Europski socijalni fond plus (ESF+), </w:t>
      </w:r>
      <w:r>
        <w:br/>
      </w:r>
      <w:r>
        <w:t xml:space="preserve">581 – Mehanizam za oporavak i otpornost – bespovratna sredstva,</w:t>
      </w:r>
      <w:r>
        <w:br/>
      </w:r>
      <w:r>
        <w:t xml:space="preserve">12 – Nacionalno sufinanciranje.</w:t>
      </w:r>
      <w:r>
        <w:br/>
      </w:r>
    </w:p>
    <w:p/>
  </w:body>
</w:document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sz w:val="24"/>
      </w:rPr>
    </w:rPrDefault>
  </w:docDefaults>
  <w:style w:type="paragraph" w:styleId="Normal" w:default="true">
    <w:name w:val="Normal"/>
    <w:rPr>
      <w:rFonts w:ascii="Times New Roman" w:hAnsi="Times New Roman"/>
      <w:sz w:val="24"/>
    </w:rPr>
  </w:style>
</w:styles>
</file>

<file path=word/_rels/document.xml.rels>&#65279;<?xml version="1.0" encoding="utf-8"?><Relationships xmlns="http://schemas.openxmlformats.org/package/2006/relationships"><Relationship Type="http://schemas.openxmlformats.org/officeDocument/2006/relationships/styles" Target="/word/styles.xml" Id="Rf215d30979fe4964" /></Relationships>
</file>