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5089" w:rsidRDefault="00905089" w:rsidP="00905089">
      <w:pPr>
        <w:pStyle w:val="Heading3"/>
      </w:pPr>
      <w:r>
        <w:rPr>
          <w:rFonts w:cs="Times New Roman"/>
        </w:rPr>
        <w:t>38487 Agencija za znanost i visoko obrazovanje</w:t>
      </w:r>
    </w:p>
    <w:p w:rsidR="00905089" w:rsidRDefault="00905089" w:rsidP="00905089">
      <w:pPr>
        <w:pStyle w:val="Normal5"/>
      </w:pPr>
      <w:r>
        <w:t xml:space="preserve">Najznačajnije aktivnosti i zadaci Agencije za znanost i visoko obrazovanje su: provođenje  postupka inicijalne akreditacije, provođenje postupka reakreditacije, provođenje postupka tematskog vrednovanja, prikupljanje i obrađivanje podataka o sustavu znanosti i visokog obrazovanja u svrhu pružanja relevantnih informacija, statističkih pokazatelja i analiza potrebnih kao polazišta za utvrđivanje standarada, kriterija i donošenje ocjena u svim postupcima vrednovanja koje provodi Agencija te relevantnih informacija o stanju i učinkovitosti cjelokupnog sustava znanosti i visokog obrazovanja, pružanje informacija o uvjetima upisa na visoka učilišta u Republici Hrvatskoj i objedinjavanje podataka o ispunjavanju uvjeta za upis pristupnika na visoka učilišta na temelju kojih visoka učilišta vrše upise na studijske programe, provođenje postupka priznavanja inozemnih obrazovnih kvalifikacija u svrhu nastavka obrazovanja te vrednovanja inozemnih visokoškolskih kvalifikacija u svrhu pristupa tržištu rada, provedba HKO-a na razini 5. (u dijelu koji se odnosi na visoko obrazovanje) te razinama 6.st; 6.sv; 7.1.st; 7.1.sv; 7.2; 8.1. i 8.2.    </w:t>
      </w:r>
    </w:p>
    <w:p w:rsidR="00905089" w:rsidRDefault="00905089" w:rsidP="00905089">
      <w:pPr>
        <w:pStyle w:val="Normal5"/>
      </w:pPr>
      <w:r>
        <w:t xml:space="preserve">Aktivnostima Agencije potaknut će se razvoj i unaprjeđenje kvalitete visokih učilišta, studijskih programa i znanstvenih organizacija u RH, bolje povezivanje obrazovne ponude s potrebama tržišta rada i bolja zapošljivost završenih studenata, bolje povezivanje znanosti i gospodarstva, osnaživanje međunarodne suradnje u sektoru visokog obrazovanja i znanosti, što će doprinijeti većoj kvaliteti, prepoznatljivosti i vjerodostojnosti hrvatskog sustava visokog obrazovanja i znanosti te biti pozitivan poticaj za razvoj društva u cjelini. To je u skladu s ciljevima sadržanim u Strategiji AZVO-a 2021. – 2025., kao i u Nacionalnoj razvojnoj strategiji Republike Hrvatske do 2030. godine. AZVO će izravno doprinositi ostvarenju drugog strateškog cilja – Obrazovani i zaposleni ljudi.    </w:t>
      </w:r>
    </w:p>
    <w:p w:rsidR="00905089" w:rsidRDefault="00905089" w:rsidP="00905089">
      <w:pPr>
        <w:pStyle w:val="Normal5"/>
      </w:pPr>
      <w:r>
        <w:t xml:space="preserve">Agencija će u ovom strateškom razdoblju doprinositi i ostvarivanju Nacionalnog plana oporavka i otpornosti 2021. – 2026. ciljevima C 3.1. R2, C 3.2. R1 i R2 te C 3.2. R1-12  (C 3.1. Reforma obrazovnog sustava i C 3.2. Podizanje istraživačkog i inovacijskog kapaciteta). Provedbom navedenih aktivnosti iz djelokruga rada AZVO-a uz ostvarenje navedenih nacionalnih strateških ciljeva doprinijeti će se ostvarenju 4. cilja Sustainable Developmental Goals – Kvalitetno obrazovanje.    </w:t>
      </w:r>
    </w:p>
    <w:p w:rsidR="00905089" w:rsidRDefault="00905089" w:rsidP="00905089">
      <w:pPr>
        <w:pStyle w:val="Normal5"/>
      </w:pPr>
      <w:r>
        <w:t xml:space="preserve">U skladu s Nacionalnim programom reformi, u području odgoja i obrazovanja glavni ciljevi su održavanje ranog napuštanja školovanja na razini do najviše 4 % i daljnje smanjenje te povećanje udjela populacije u dobi 30 – 34 godina sa završenim tercijarnim obrazovanjem na 35 %. Povezano s tim, u narednom će se razdoblju provoditi mjere unaprjeđenja kvalitete i učinkovitosti sustava odgoja i obrazovanja, povećanja dostupnosti obrazovanja kroz olakšan pristup obrazovanju na svim razinama te poboljšanja usklađenosti sustava odgoja i obrazovanja s potrebama tržišta rada.     </w:t>
      </w:r>
    </w:p>
    <w:p w:rsidR="00905089" w:rsidRDefault="00905089" w:rsidP="00905089">
      <w:pPr>
        <w:pStyle w:val="Normal5"/>
      </w:pPr>
      <w:r>
        <w:t>Zakonom o osiguravanju kvalitete u visokom obrazovanju i znanosti te pratećim propisima definirani su jasni i objektivni postupci na temelju kojih će se vrednovati i ocjenjivati kvaliteta subjekata vrednovanja (tzv. vanjsko osiguravanje i unaprjeđivanje kvalitete) te obveza i odgovornost istih za učinkovitost i ostvarivanje kvalitetnih ishoda obrazovnih i znanstvenih aktivnosti (tzv. unutarnje unaprjeđivanje kvalitete).</w:t>
      </w:r>
    </w:p>
    <w:tbl>
      <w:tblPr>
        <w:tblStyle w:val="StilTablice"/>
        <w:tblW w:w="10206" w:type="dxa"/>
        <w:jc w:val="center"/>
        <w:tblLook w:val="04A0" w:firstRow="1" w:lastRow="0" w:firstColumn="1" w:lastColumn="0" w:noHBand="0" w:noVBand="1"/>
      </w:tblPr>
      <w:tblGrid>
        <w:gridCol w:w="1481"/>
        <w:gridCol w:w="1551"/>
        <w:gridCol w:w="1551"/>
        <w:gridCol w:w="1551"/>
        <w:gridCol w:w="1551"/>
        <w:gridCol w:w="1551"/>
        <w:gridCol w:w="970"/>
      </w:tblGrid>
      <w:tr w:rsidR="00905089" w:rsidTr="00AF2F06">
        <w:trPr>
          <w:jc w:val="center"/>
        </w:trPr>
        <w:tc>
          <w:tcPr>
            <w:tcW w:w="1530" w:type="dxa"/>
            <w:shd w:val="clear" w:color="auto" w:fill="B5C0D8"/>
          </w:tcPr>
          <w:p w:rsidR="00905089" w:rsidRDefault="00905089" w:rsidP="00AF2F06">
            <w:pPr>
              <w:pStyle w:val="CellHeader"/>
            </w:pP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38487-Agencija za znanost i visoko obrazovanje</w:t>
            </w:r>
          </w:p>
        </w:tc>
        <w:tc>
          <w:tcPr>
            <w:tcW w:w="1632" w:type="dxa"/>
          </w:tcPr>
          <w:p w:rsidR="00905089" w:rsidRDefault="00905089" w:rsidP="00AF2F06">
            <w:pPr>
              <w:pStyle w:val="CellColumn"/>
            </w:pPr>
            <w:r>
              <w:rPr>
                <w:rFonts w:cs="Times New Roman"/>
              </w:rPr>
              <w:t>4.473.069</w:t>
            </w:r>
          </w:p>
        </w:tc>
        <w:tc>
          <w:tcPr>
            <w:tcW w:w="1632" w:type="dxa"/>
          </w:tcPr>
          <w:p w:rsidR="00905089" w:rsidRDefault="00905089" w:rsidP="00AF2F06">
            <w:pPr>
              <w:pStyle w:val="CellColumn"/>
            </w:pPr>
            <w:r>
              <w:rPr>
                <w:rFonts w:cs="Times New Roman"/>
              </w:rPr>
              <w:t>6.990.922</w:t>
            </w:r>
          </w:p>
        </w:tc>
        <w:tc>
          <w:tcPr>
            <w:tcW w:w="1632" w:type="dxa"/>
          </w:tcPr>
          <w:p w:rsidR="00905089" w:rsidRDefault="00905089" w:rsidP="00AF2F06">
            <w:pPr>
              <w:pStyle w:val="CellColumn"/>
            </w:pPr>
            <w:r>
              <w:rPr>
                <w:rFonts w:cs="Times New Roman"/>
              </w:rPr>
              <w:t>6.970.642</w:t>
            </w:r>
          </w:p>
        </w:tc>
        <w:tc>
          <w:tcPr>
            <w:tcW w:w="1632" w:type="dxa"/>
          </w:tcPr>
          <w:p w:rsidR="00905089" w:rsidRDefault="00905089" w:rsidP="00AF2F06">
            <w:pPr>
              <w:pStyle w:val="CellColumn"/>
            </w:pPr>
            <w:r>
              <w:rPr>
                <w:rFonts w:cs="Times New Roman"/>
              </w:rPr>
              <w:t>6.816.473</w:t>
            </w:r>
          </w:p>
        </w:tc>
        <w:tc>
          <w:tcPr>
            <w:tcW w:w="1632" w:type="dxa"/>
          </w:tcPr>
          <w:p w:rsidR="00905089" w:rsidRDefault="00905089" w:rsidP="00AF2F06">
            <w:pPr>
              <w:pStyle w:val="CellColumn"/>
            </w:pPr>
            <w:r>
              <w:rPr>
                <w:rFonts w:cs="Times New Roman"/>
              </w:rPr>
              <w:t>6.711.620</w:t>
            </w:r>
          </w:p>
        </w:tc>
        <w:tc>
          <w:tcPr>
            <w:tcW w:w="510" w:type="dxa"/>
          </w:tcPr>
          <w:p w:rsidR="00905089" w:rsidRDefault="00905089" w:rsidP="00AF2F06">
            <w:pPr>
              <w:pStyle w:val="CellColumn"/>
            </w:pPr>
            <w:r>
              <w:rPr>
                <w:rFonts w:cs="Times New Roman"/>
              </w:rPr>
              <w:t>99,7</w:t>
            </w:r>
          </w:p>
        </w:tc>
      </w:tr>
    </w:tbl>
    <w:p w:rsidR="00905089" w:rsidRDefault="00905089" w:rsidP="00905089">
      <w:pPr>
        <w:jc w:val="left"/>
      </w:pPr>
    </w:p>
    <w:p w:rsidR="00905089" w:rsidRDefault="00905089" w:rsidP="00905089">
      <w:pPr>
        <w:pStyle w:val="Heading5"/>
      </w:pPr>
      <w:r>
        <w:lastRenderedPageBreak/>
        <w:t>3705 VISOKO OBRAZOVANJE</w:t>
      </w:r>
    </w:p>
    <w:tbl>
      <w:tblPr>
        <w:tblStyle w:val="StilTablice"/>
        <w:tblW w:w="10206" w:type="dxa"/>
        <w:jc w:val="center"/>
        <w:tblLook w:val="04A0" w:firstRow="1" w:lastRow="0" w:firstColumn="1" w:lastColumn="0" w:noHBand="0" w:noVBand="1"/>
      </w:tblPr>
      <w:tblGrid>
        <w:gridCol w:w="1571"/>
        <w:gridCol w:w="1533"/>
        <w:gridCol w:w="1533"/>
        <w:gridCol w:w="1533"/>
        <w:gridCol w:w="1533"/>
        <w:gridCol w:w="1533"/>
        <w:gridCol w:w="970"/>
      </w:tblGrid>
      <w:tr w:rsidR="00905089" w:rsidTr="00AF2F06">
        <w:trPr>
          <w:jc w:val="center"/>
        </w:trPr>
        <w:tc>
          <w:tcPr>
            <w:tcW w:w="1530" w:type="dxa"/>
            <w:shd w:val="clear" w:color="auto" w:fill="B5C0D8"/>
          </w:tcPr>
          <w:p w:rsidR="00905089" w:rsidRDefault="00905089" w:rsidP="00AF2F06">
            <w:pPr>
              <w:pStyle w:val="CellHeader"/>
            </w:pP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3705-VISOKO OBRAZOVANJE</w:t>
            </w:r>
          </w:p>
        </w:tc>
        <w:tc>
          <w:tcPr>
            <w:tcW w:w="1632" w:type="dxa"/>
          </w:tcPr>
          <w:p w:rsidR="00905089" w:rsidRDefault="00905089" w:rsidP="00AF2F06">
            <w:pPr>
              <w:pStyle w:val="CellColumn"/>
            </w:pPr>
            <w:r>
              <w:rPr>
                <w:rFonts w:cs="Times New Roman"/>
              </w:rPr>
              <w:t>4.473.069</w:t>
            </w:r>
          </w:p>
        </w:tc>
        <w:tc>
          <w:tcPr>
            <w:tcW w:w="1632" w:type="dxa"/>
          </w:tcPr>
          <w:p w:rsidR="00905089" w:rsidRDefault="00905089" w:rsidP="00AF2F06">
            <w:pPr>
              <w:pStyle w:val="CellColumn"/>
            </w:pPr>
            <w:r>
              <w:rPr>
                <w:rFonts w:cs="Times New Roman"/>
              </w:rPr>
              <w:t>6.990.922</w:t>
            </w:r>
          </w:p>
        </w:tc>
        <w:tc>
          <w:tcPr>
            <w:tcW w:w="1632" w:type="dxa"/>
          </w:tcPr>
          <w:p w:rsidR="00905089" w:rsidRDefault="00905089" w:rsidP="00AF2F06">
            <w:pPr>
              <w:pStyle w:val="CellColumn"/>
            </w:pPr>
            <w:r>
              <w:rPr>
                <w:rFonts w:cs="Times New Roman"/>
              </w:rPr>
              <w:t>6.970.642</w:t>
            </w:r>
          </w:p>
        </w:tc>
        <w:tc>
          <w:tcPr>
            <w:tcW w:w="1632" w:type="dxa"/>
          </w:tcPr>
          <w:p w:rsidR="00905089" w:rsidRDefault="00905089" w:rsidP="00AF2F06">
            <w:pPr>
              <w:pStyle w:val="CellColumn"/>
            </w:pPr>
            <w:r>
              <w:rPr>
                <w:rFonts w:cs="Times New Roman"/>
              </w:rPr>
              <w:t>6.816.473</w:t>
            </w:r>
          </w:p>
        </w:tc>
        <w:tc>
          <w:tcPr>
            <w:tcW w:w="1632" w:type="dxa"/>
          </w:tcPr>
          <w:p w:rsidR="00905089" w:rsidRDefault="00905089" w:rsidP="00AF2F06">
            <w:pPr>
              <w:pStyle w:val="CellColumn"/>
            </w:pPr>
            <w:r>
              <w:rPr>
                <w:rFonts w:cs="Times New Roman"/>
              </w:rPr>
              <w:t>6.711.620</w:t>
            </w:r>
          </w:p>
        </w:tc>
        <w:tc>
          <w:tcPr>
            <w:tcW w:w="510" w:type="dxa"/>
          </w:tcPr>
          <w:p w:rsidR="00905089" w:rsidRDefault="00905089" w:rsidP="00AF2F06">
            <w:pPr>
              <w:pStyle w:val="CellColumn"/>
            </w:pPr>
            <w:r>
              <w:rPr>
                <w:rFonts w:cs="Times New Roman"/>
              </w:rPr>
              <w:t>99,7</w:t>
            </w:r>
          </w:p>
        </w:tc>
      </w:tr>
    </w:tbl>
    <w:p w:rsidR="00905089" w:rsidRDefault="00905089" w:rsidP="00905089">
      <w:pPr>
        <w:jc w:val="left"/>
      </w:pPr>
    </w:p>
    <w:p w:rsidR="00905089" w:rsidRDefault="00905089" w:rsidP="00905089">
      <w:pPr>
        <w:pStyle w:val="Heading7"/>
      </w:pPr>
      <w:r>
        <w:t>Cilj 1. Unaprjeđenje kvalitete, relevantnosti, učinkovitosti i dostupnosti visokog obrazovanja</w:t>
      </w:r>
    </w:p>
    <w:p w:rsidR="00905089" w:rsidRDefault="00905089" w:rsidP="00905089">
      <w:pPr>
        <w:pStyle w:val="Heading8"/>
        <w:jc w:val="left"/>
      </w:pPr>
      <w:r>
        <w:t>Pokazatelji učinka</w:t>
      </w:r>
    </w:p>
    <w:tbl>
      <w:tblPr>
        <w:tblStyle w:val="StilTablice"/>
        <w:tblW w:w="10206" w:type="dxa"/>
        <w:jc w:val="center"/>
        <w:tblLook w:val="04A0" w:firstRow="1" w:lastRow="0" w:firstColumn="1" w:lastColumn="0" w:noHBand="0" w:noVBand="1"/>
      </w:tblPr>
      <w:tblGrid>
        <w:gridCol w:w="2292"/>
        <w:gridCol w:w="2292"/>
        <w:gridCol w:w="937"/>
        <w:gridCol w:w="937"/>
        <w:gridCol w:w="937"/>
        <w:gridCol w:w="937"/>
        <w:gridCol w:w="937"/>
        <w:gridCol w:w="937"/>
      </w:tblGrid>
      <w:tr w:rsidR="00905089" w:rsidTr="00AF2F06">
        <w:trPr>
          <w:jc w:val="center"/>
        </w:trPr>
        <w:tc>
          <w:tcPr>
            <w:tcW w:w="2245" w:type="dxa"/>
            <w:shd w:val="clear" w:color="auto" w:fill="B5C0D8"/>
          </w:tcPr>
          <w:p w:rsidR="00905089" w:rsidRDefault="00905089" w:rsidP="00AF2F06">
            <w:r>
              <w:t>Pokazatelj učinka</w:t>
            </w:r>
          </w:p>
        </w:tc>
        <w:tc>
          <w:tcPr>
            <w:tcW w:w="2245" w:type="dxa"/>
            <w:shd w:val="clear" w:color="auto" w:fill="B5C0D8"/>
          </w:tcPr>
          <w:p w:rsidR="00905089" w:rsidRDefault="00905089" w:rsidP="00AF2F06">
            <w:pPr>
              <w:pStyle w:val="CellHeader"/>
            </w:pPr>
            <w:r>
              <w:rPr>
                <w:rFonts w:cs="Times New Roman"/>
              </w:rPr>
              <w:t>Definicija</w:t>
            </w:r>
          </w:p>
        </w:tc>
        <w:tc>
          <w:tcPr>
            <w:tcW w:w="918"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provedenih vanjskih vrednovanja u trećem ciklusu u skladu s ESG-jima i nacionalnim standardima kvalitete</w:t>
            </w:r>
          </w:p>
        </w:tc>
        <w:tc>
          <w:tcPr>
            <w:tcW w:w="2245" w:type="dxa"/>
          </w:tcPr>
          <w:p w:rsidR="00905089" w:rsidRDefault="00905089" w:rsidP="00AF2F06">
            <w:pPr>
              <w:pStyle w:val="CellColumn"/>
            </w:pPr>
            <w:r>
              <w:rPr>
                <w:rFonts w:cs="Times New Roman"/>
              </w:rPr>
              <w:t>Visoka učilišta i studijski programi koji su usklađeni s ESG-ima i nacionalnim standardima kvalitete</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Godišnja izvješća AZVO-a</w:t>
            </w:r>
          </w:p>
        </w:tc>
        <w:tc>
          <w:tcPr>
            <w:tcW w:w="918" w:type="dxa"/>
          </w:tcPr>
          <w:p w:rsidR="00905089" w:rsidRDefault="00905089" w:rsidP="00AF2F06">
            <w:pPr>
              <w:pStyle w:val="CellColumn"/>
            </w:pPr>
            <w:r>
              <w:rPr>
                <w:rFonts w:cs="Times New Roman"/>
              </w:rPr>
              <w:t>142</w:t>
            </w:r>
          </w:p>
        </w:tc>
        <w:tc>
          <w:tcPr>
            <w:tcW w:w="918" w:type="dxa"/>
          </w:tcPr>
          <w:p w:rsidR="00905089" w:rsidRDefault="00905089" w:rsidP="00AF2F06">
            <w:pPr>
              <w:pStyle w:val="CellColumn"/>
            </w:pPr>
            <w:r>
              <w:rPr>
                <w:rFonts w:cs="Times New Roman"/>
              </w:rPr>
              <w:t>142</w:t>
            </w:r>
          </w:p>
        </w:tc>
        <w:tc>
          <w:tcPr>
            <w:tcW w:w="918" w:type="dxa"/>
          </w:tcPr>
          <w:p w:rsidR="00905089" w:rsidRDefault="00905089" w:rsidP="00AF2F06">
            <w:pPr>
              <w:pStyle w:val="CellColumn"/>
            </w:pPr>
            <w:r>
              <w:rPr>
                <w:rFonts w:cs="Times New Roman"/>
              </w:rPr>
              <w:t>142</w:t>
            </w:r>
          </w:p>
        </w:tc>
      </w:tr>
    </w:tbl>
    <w:p w:rsidR="00905089" w:rsidRDefault="00905089" w:rsidP="00905089">
      <w:pPr>
        <w:jc w:val="left"/>
      </w:pPr>
    </w:p>
    <w:p w:rsidR="00905089" w:rsidRDefault="00905089" w:rsidP="00905089">
      <w:pPr>
        <w:pStyle w:val="Heading4"/>
      </w:pPr>
      <w:r>
        <w:t>A621155 ADMINISTRACIJA I UPRAVLJANJE AGENCIJE ZA ZNANOST I VISOKO OBRAZOVANJE</w:t>
      </w:r>
    </w:p>
    <w:p w:rsidR="00905089" w:rsidRDefault="00905089" w:rsidP="00905089">
      <w:pPr>
        <w:pStyle w:val="Heading8"/>
        <w:jc w:val="left"/>
      </w:pPr>
      <w:r>
        <w:t>Zakonske i druge pravne osnove</w:t>
      </w:r>
    </w:p>
    <w:p w:rsidR="00905089" w:rsidRDefault="00905089" w:rsidP="00905089">
      <w:pPr>
        <w:pStyle w:val="Normal5"/>
      </w:pPr>
      <w:r>
        <w:t>Zakon o plaćama u javnim službama, Zakon o osnovici plaće u javnim službama, Temeljni kolektivni ugovor za službenike i namještenike u javnim službama, Uredba o nazivima radnih mjesta, uvjetima za raspored koeficijentima za obračun plaće u javnim službama, Zakon o osiguravanju kvalitete u visokom obrazovanju i znanosti, Zakon o visokom obrazovanju i  znanstvenoj djelatnosti, Zakon o priznavanju i vrednovanju inozemnih obrazovnih kvalifikacija, Zakon o proračunu, Zakon o izvršavanju Državnog proračuna Republike Hrvatske, Zakon o fiskalnoj odgovornosti, Zakon o porezu na dohodak</w:t>
      </w:r>
    </w:p>
    <w:tbl>
      <w:tblPr>
        <w:tblStyle w:val="StilTablice"/>
        <w:tblW w:w="10206" w:type="dxa"/>
        <w:jc w:val="center"/>
        <w:tblLook w:val="04A0" w:firstRow="1" w:lastRow="0" w:firstColumn="1" w:lastColumn="0" w:noHBand="0" w:noVBand="1"/>
      </w:tblPr>
      <w:tblGrid>
        <w:gridCol w:w="1792"/>
        <w:gridCol w:w="1488"/>
        <w:gridCol w:w="1489"/>
        <w:gridCol w:w="1489"/>
        <w:gridCol w:w="1489"/>
        <w:gridCol w:w="1489"/>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A621155-ADMINISTRACIJA I UPRAVLJANJE AGENCIJE ZA ZNANOST I VISOKO OBRAZOVANJE</w:t>
            </w:r>
          </w:p>
        </w:tc>
        <w:tc>
          <w:tcPr>
            <w:tcW w:w="1632" w:type="dxa"/>
          </w:tcPr>
          <w:p w:rsidR="00905089" w:rsidRDefault="00905089" w:rsidP="00AF2F06">
            <w:pPr>
              <w:pStyle w:val="CellColumn"/>
            </w:pPr>
            <w:r>
              <w:rPr>
                <w:rFonts w:cs="Times New Roman"/>
              </w:rPr>
              <w:t>2.857.072</w:t>
            </w:r>
          </w:p>
        </w:tc>
        <w:tc>
          <w:tcPr>
            <w:tcW w:w="1632" w:type="dxa"/>
          </w:tcPr>
          <w:p w:rsidR="00905089" w:rsidRDefault="00905089" w:rsidP="00AF2F06">
            <w:pPr>
              <w:pStyle w:val="CellColumn"/>
            </w:pPr>
            <w:r>
              <w:rPr>
                <w:rFonts w:cs="Times New Roman"/>
              </w:rPr>
              <w:t>3.483.701</w:t>
            </w:r>
          </w:p>
        </w:tc>
        <w:tc>
          <w:tcPr>
            <w:tcW w:w="1632" w:type="dxa"/>
          </w:tcPr>
          <w:p w:rsidR="00905089" w:rsidRDefault="00905089" w:rsidP="00AF2F06">
            <w:pPr>
              <w:pStyle w:val="CellColumn"/>
            </w:pPr>
            <w:r>
              <w:rPr>
                <w:rFonts w:cs="Times New Roman"/>
              </w:rPr>
              <w:t>4.252.271</w:t>
            </w:r>
          </w:p>
        </w:tc>
        <w:tc>
          <w:tcPr>
            <w:tcW w:w="1632" w:type="dxa"/>
          </w:tcPr>
          <w:p w:rsidR="00905089" w:rsidRDefault="00905089" w:rsidP="00AF2F06">
            <w:pPr>
              <w:pStyle w:val="CellColumn"/>
            </w:pPr>
            <w:r>
              <w:rPr>
                <w:rFonts w:cs="Times New Roman"/>
              </w:rPr>
              <w:t>4.284.791</w:t>
            </w:r>
          </w:p>
        </w:tc>
        <w:tc>
          <w:tcPr>
            <w:tcW w:w="1632" w:type="dxa"/>
          </w:tcPr>
          <w:p w:rsidR="00905089" w:rsidRDefault="00905089" w:rsidP="00AF2F06">
            <w:pPr>
              <w:pStyle w:val="CellColumn"/>
            </w:pPr>
            <w:r>
              <w:rPr>
                <w:rFonts w:cs="Times New Roman"/>
              </w:rPr>
              <w:t>4.436.791</w:t>
            </w:r>
          </w:p>
        </w:tc>
        <w:tc>
          <w:tcPr>
            <w:tcW w:w="510" w:type="dxa"/>
          </w:tcPr>
          <w:p w:rsidR="00905089" w:rsidRDefault="00905089" w:rsidP="00AF2F06">
            <w:pPr>
              <w:pStyle w:val="CellColumn"/>
            </w:pPr>
            <w:r>
              <w:rPr>
                <w:rFonts w:cs="Times New Roman"/>
              </w:rPr>
              <w:t>122,1</w:t>
            </w:r>
          </w:p>
        </w:tc>
      </w:tr>
    </w:tbl>
    <w:p w:rsidR="00905089" w:rsidRDefault="00905089" w:rsidP="00905089">
      <w:pPr>
        <w:jc w:val="left"/>
      </w:pPr>
    </w:p>
    <w:p w:rsidR="00905089" w:rsidRDefault="00905089" w:rsidP="00905089">
      <w:r>
        <w:t xml:space="preserve">Sredstva na aktivnosti namijenjena su za pokriće plaća za redovan rad i doprinosa  za 85 zaposlenika te materijalne troškove Agencije koji se odnose na zakupnine poslovnog prostora 475.000 eura, intelektualne usluge 102.000 eura, službena putovanja zaposlenika 40.200 eura, naknade za prijevoz na posao i s posla 59.500 eura, stručno usavršavanje zaposlenika 23.350 eura, uredski materijal 29.300 eura, usluge telefona i pošte te prijevoza 34.600 eura, naknade za rad Upravnog vijeća 26.600 eura i članarine 22.570 eura.    </w:t>
      </w:r>
    </w:p>
    <w:p w:rsidR="00905089" w:rsidRDefault="00905089" w:rsidP="00905089">
      <w:r>
        <w:lastRenderedPageBreak/>
        <w:t xml:space="preserve">Planirana sredstva na aktivnosti izvora 31 – vlastiti prihodi služe za pokriće troškova akreditacija visokih učilišta i studijskih programa zemalja unutar Europskog prostora visokog obrazovanja (EHEA) sukladno iskazanom interesu,  budući da je rad AZVO-a prepoznat i istican kao primjer dobre međunarodne prakse.     </w:t>
      </w:r>
    </w:p>
    <w:p w:rsidR="00905089" w:rsidRDefault="00905089" w:rsidP="00905089">
      <w:r>
        <w:t>Planirana sredstva na aktivnosti izvora 43 – ostali prihodi za posebne namjene služe za pokriće materijalnih troškova postupaka  vrednovanja inozemnih visokoškolskih kvalifikacija u svrhu pristupa tržištu rada u profesijama koje nisu uključene u Popis reguliranih profesija u RH te priznavanja inozemnih obrazovnih kvalifikacija radi nastavka obrazovanja. Naknade za troškove vrednovanja koje provodi Nacionalni ENIC/NARIC (Pravilnik o visini naknade za troškove postupaka priznavanja i vrednovanja, načinu raspodjele naknade, oslobođenja od plaćanja naknade te drugim pitanjima troškova postupka – NN 85/23) uplaćuju fizičke osobe iz Republike Hrvatske i inozemstva.</w:t>
      </w:r>
    </w:p>
    <w:p w:rsidR="00905089" w:rsidRDefault="00905089" w:rsidP="00905089">
      <w:pPr>
        <w:pStyle w:val="Heading4"/>
      </w:pPr>
      <w:r>
        <w:t>A621182 ZBOR VELEUČILIŠTA</w:t>
      </w:r>
    </w:p>
    <w:p w:rsidR="00905089" w:rsidRDefault="00905089" w:rsidP="00905089">
      <w:pPr>
        <w:pStyle w:val="Heading8"/>
        <w:jc w:val="left"/>
      </w:pPr>
      <w:r>
        <w:t>Zakonske i druge pravne osnove</w:t>
      </w:r>
    </w:p>
    <w:p w:rsidR="00905089" w:rsidRDefault="00905089" w:rsidP="00905089">
      <w:pPr>
        <w:pStyle w:val="Normal5"/>
      </w:pPr>
      <w:r>
        <w:t>Članci 91. i 94. Zakona o visokom obrazovanju i znanstvenoj djelatnosti, Odluka ZV-a, Poslovnik o radu ZV-a.</w:t>
      </w:r>
    </w:p>
    <w:tbl>
      <w:tblPr>
        <w:tblStyle w:val="StilTablice"/>
        <w:tblW w:w="10206" w:type="dxa"/>
        <w:jc w:val="center"/>
        <w:tblLook w:val="04A0" w:firstRow="1" w:lastRow="0" w:firstColumn="1" w:lastColumn="0" w:noHBand="0" w:noVBand="1"/>
      </w:tblPr>
      <w:tblGrid>
        <w:gridCol w:w="1537"/>
        <w:gridCol w:w="1555"/>
        <w:gridCol w:w="1536"/>
        <w:gridCol w:w="1536"/>
        <w:gridCol w:w="1536"/>
        <w:gridCol w:w="1536"/>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A621182-ZBOR VELEUČILIŠTA</w:t>
            </w:r>
          </w:p>
        </w:tc>
        <w:tc>
          <w:tcPr>
            <w:tcW w:w="1632" w:type="dxa"/>
          </w:tcPr>
          <w:p w:rsidR="00905089" w:rsidRDefault="00905089" w:rsidP="00AF2F06">
            <w:pPr>
              <w:pStyle w:val="CellColumn"/>
            </w:pPr>
            <w:r>
              <w:rPr>
                <w:rFonts w:cs="Times New Roman"/>
              </w:rPr>
              <w:t>38.695</w:t>
            </w:r>
          </w:p>
        </w:tc>
        <w:tc>
          <w:tcPr>
            <w:tcW w:w="1632" w:type="dxa"/>
          </w:tcPr>
          <w:p w:rsidR="00905089" w:rsidRDefault="00905089" w:rsidP="00AF2F06">
            <w:pPr>
              <w:pStyle w:val="CellColumn"/>
            </w:pPr>
            <w:r>
              <w:rPr>
                <w:rFonts w:cs="Times New Roman"/>
              </w:rPr>
              <w:t>55.014</w:t>
            </w:r>
          </w:p>
        </w:tc>
        <w:tc>
          <w:tcPr>
            <w:tcW w:w="1632" w:type="dxa"/>
          </w:tcPr>
          <w:p w:rsidR="00905089" w:rsidRDefault="00905089" w:rsidP="00AF2F06">
            <w:pPr>
              <w:pStyle w:val="CellColumn"/>
            </w:pPr>
            <w:r>
              <w:rPr>
                <w:rFonts w:cs="Times New Roman"/>
              </w:rPr>
              <w:t>66.000</w:t>
            </w:r>
          </w:p>
        </w:tc>
        <w:tc>
          <w:tcPr>
            <w:tcW w:w="1632" w:type="dxa"/>
          </w:tcPr>
          <w:p w:rsidR="00905089" w:rsidRDefault="00905089" w:rsidP="00AF2F06">
            <w:pPr>
              <w:pStyle w:val="CellColumn"/>
            </w:pPr>
            <w:r>
              <w:rPr>
                <w:rFonts w:cs="Times New Roman"/>
              </w:rPr>
              <w:t>66.000</w:t>
            </w:r>
          </w:p>
        </w:tc>
        <w:tc>
          <w:tcPr>
            <w:tcW w:w="1632" w:type="dxa"/>
          </w:tcPr>
          <w:p w:rsidR="00905089" w:rsidRDefault="00905089" w:rsidP="00AF2F06">
            <w:pPr>
              <w:pStyle w:val="CellColumn"/>
            </w:pPr>
            <w:r>
              <w:rPr>
                <w:rFonts w:cs="Times New Roman"/>
              </w:rPr>
              <w:t>66.000</w:t>
            </w:r>
          </w:p>
        </w:tc>
        <w:tc>
          <w:tcPr>
            <w:tcW w:w="510" w:type="dxa"/>
          </w:tcPr>
          <w:p w:rsidR="00905089" w:rsidRDefault="00905089" w:rsidP="00AF2F06">
            <w:pPr>
              <w:pStyle w:val="CellColumn"/>
            </w:pPr>
            <w:r>
              <w:rPr>
                <w:rFonts w:cs="Times New Roman"/>
              </w:rPr>
              <w:t>120,0</w:t>
            </w:r>
          </w:p>
        </w:tc>
      </w:tr>
    </w:tbl>
    <w:p w:rsidR="00905089" w:rsidRDefault="00905089" w:rsidP="00905089">
      <w:pPr>
        <w:jc w:val="left"/>
      </w:pPr>
    </w:p>
    <w:p w:rsidR="00905089" w:rsidRDefault="00905089" w:rsidP="00905089">
      <w:r>
        <w:t xml:space="preserve">Sredstva na aktivnosti A621182 namijenjena su za pokriće troškova povezanih s radom Zbora veleučilišta Republike Hrvatske. Članovi Zbora su dekani svih veleučilišta u Republici Hrvatskoj. Planirani troškovi odnose se na naknade za rad članova Zbora veleučilišta, kao i matičnih povjerenstava u iznosu od 28.800 eura, naknade troškova osobama izvan radnog odnosa u iznosu od 2.654 eura i članarine u iznosu od 4.700 eura. Predsjednik Zbora veleučilišta kao i druge osobe koje predsjednik ovlasti, sudjeluju na sastancima Rektorskog zbora, sastancima povjerenstava MZOM-a, sastancima i skupovima EURASHE-a (međunarodne organizacije koja se bavi jačanjem položaja stručnih studija) i drugih međunarodnih organizacija. Zbor prema potrebi financira određene djelatnosti Vijeća studenata veleučilišta, koordinativnog tijela studentskih predstavnika veleučilišta osnovanog odlukom Zbora veleučilišta. Zbor povremeno organizira određene skupove za dionike iz sustava.     </w:t>
      </w:r>
    </w:p>
    <w:p w:rsidR="00905089" w:rsidRDefault="00905089" w:rsidP="00905089">
      <w:r>
        <w:t>Agencija obavlja poslove oko pripremanja i sazivanja sjednica Zbora veleučilišta te matičnih povjerenstava, kao i administrativno-tehničke poslove za potrebe Zbora i matičnih povjerenstava.</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884"/>
        <w:gridCol w:w="1924"/>
        <w:gridCol w:w="1835"/>
        <w:gridCol w:w="917"/>
        <w:gridCol w:w="895"/>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održanih sjednica</w:t>
            </w:r>
          </w:p>
        </w:tc>
        <w:tc>
          <w:tcPr>
            <w:tcW w:w="2245" w:type="dxa"/>
          </w:tcPr>
          <w:p w:rsidR="00905089" w:rsidRDefault="00905089" w:rsidP="00AF2F06">
            <w:pPr>
              <w:pStyle w:val="CellColumn"/>
            </w:pPr>
            <w:r>
              <w:rPr>
                <w:rFonts w:cs="Times New Roman"/>
              </w:rPr>
              <w:t>Sjednice ZV-a i njegovih tijela održavaju se s ciljem rješavanja različitih pitanja iz područja stručnoga visokog obrazovanja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84</w:t>
            </w:r>
          </w:p>
        </w:tc>
        <w:tc>
          <w:tcPr>
            <w:tcW w:w="918" w:type="dxa"/>
          </w:tcPr>
          <w:p w:rsidR="00905089" w:rsidRDefault="00905089" w:rsidP="00AF2F06">
            <w:pPr>
              <w:pStyle w:val="CellColumn"/>
            </w:pPr>
            <w:r>
              <w:rPr>
                <w:rFonts w:cs="Times New Roman"/>
              </w:rPr>
              <w:t>84</w:t>
            </w:r>
          </w:p>
        </w:tc>
        <w:tc>
          <w:tcPr>
            <w:tcW w:w="918" w:type="dxa"/>
          </w:tcPr>
          <w:p w:rsidR="00905089" w:rsidRDefault="00905089" w:rsidP="00AF2F06">
            <w:pPr>
              <w:pStyle w:val="CellColumn"/>
            </w:pPr>
            <w:r>
              <w:rPr>
                <w:rFonts w:cs="Times New Roman"/>
              </w:rPr>
              <w:t>84</w:t>
            </w:r>
          </w:p>
        </w:tc>
      </w:tr>
    </w:tbl>
    <w:p w:rsidR="00905089" w:rsidRDefault="00905089" w:rsidP="00905089">
      <w:pPr>
        <w:jc w:val="left"/>
      </w:pPr>
    </w:p>
    <w:p w:rsidR="00905089" w:rsidRDefault="00905089" w:rsidP="00905089">
      <w:pPr>
        <w:pStyle w:val="Heading4"/>
      </w:pPr>
      <w:r>
        <w:lastRenderedPageBreak/>
        <w:t>A621186 VREDNOVANJE ZNANSTVENIH ORGANIZACIJA</w:t>
      </w:r>
    </w:p>
    <w:p w:rsidR="00905089" w:rsidRDefault="00905089" w:rsidP="00905089">
      <w:pPr>
        <w:pStyle w:val="Heading8"/>
        <w:jc w:val="left"/>
      </w:pPr>
      <w:r>
        <w:t>Zakonske i druge pravne osnove</w:t>
      </w:r>
    </w:p>
    <w:p w:rsidR="00905089" w:rsidRDefault="00905089" w:rsidP="00905089">
      <w:pPr>
        <w:pStyle w:val="Normal5"/>
      </w:pPr>
      <w:r>
        <w:t>Postupci vrednovanja u znanosti provode se na temelju Zakona o osiguravanju kvalitete u visokom obrazovanju i znanosti. Riječ je o postupcima: inicijalna akreditacija doktorskog studija, inicijalna akreditacija znanstvenog instituta i reakreditacija znanstvenog instituta. Visina i način isplate naknade za rad stručnih povjerenstava u ovim postupcima propisani su Odlukom o visini i načinu isplate za rad predsjednika i članova stručnih povjerenstava u postupcima vanjskih vrednovanja.</w:t>
      </w:r>
    </w:p>
    <w:tbl>
      <w:tblPr>
        <w:tblStyle w:val="StilTablice"/>
        <w:tblW w:w="10206" w:type="dxa"/>
        <w:jc w:val="center"/>
        <w:tblLook w:val="04A0" w:firstRow="1" w:lastRow="0" w:firstColumn="1" w:lastColumn="0" w:noHBand="0" w:noVBand="1"/>
      </w:tblPr>
      <w:tblGrid>
        <w:gridCol w:w="1581"/>
        <w:gridCol w:w="1539"/>
        <w:gridCol w:w="1529"/>
        <w:gridCol w:w="1529"/>
        <w:gridCol w:w="1529"/>
        <w:gridCol w:w="1529"/>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A621186-VREDNOVANJE ZNANSTVENIH ORGANIZACIJA</w:t>
            </w:r>
          </w:p>
        </w:tc>
        <w:tc>
          <w:tcPr>
            <w:tcW w:w="1632" w:type="dxa"/>
          </w:tcPr>
          <w:p w:rsidR="00905089" w:rsidRDefault="00905089" w:rsidP="00AF2F06">
            <w:pPr>
              <w:pStyle w:val="CellColumn"/>
            </w:pPr>
            <w:r>
              <w:rPr>
                <w:rFonts w:cs="Times New Roman"/>
              </w:rPr>
              <w:t>442.158</w:t>
            </w:r>
          </w:p>
        </w:tc>
        <w:tc>
          <w:tcPr>
            <w:tcW w:w="1632" w:type="dxa"/>
          </w:tcPr>
          <w:p w:rsidR="00905089" w:rsidRDefault="00905089" w:rsidP="00AF2F06">
            <w:pPr>
              <w:pStyle w:val="CellColumn"/>
            </w:pPr>
            <w:r>
              <w:rPr>
                <w:rFonts w:cs="Times New Roman"/>
              </w:rPr>
              <w:t>866.690</w:t>
            </w:r>
          </w:p>
        </w:tc>
        <w:tc>
          <w:tcPr>
            <w:tcW w:w="1632" w:type="dxa"/>
          </w:tcPr>
          <w:p w:rsidR="00905089" w:rsidRDefault="00905089" w:rsidP="00AF2F06">
            <w:pPr>
              <w:pStyle w:val="CellColumn"/>
            </w:pPr>
            <w:r>
              <w:rPr>
                <w:rFonts w:cs="Times New Roman"/>
              </w:rPr>
              <w:t>338.690</w:t>
            </w:r>
          </w:p>
        </w:tc>
        <w:tc>
          <w:tcPr>
            <w:tcW w:w="1632" w:type="dxa"/>
          </w:tcPr>
          <w:p w:rsidR="00905089" w:rsidRDefault="00905089" w:rsidP="00AF2F06">
            <w:pPr>
              <w:pStyle w:val="CellColumn"/>
            </w:pPr>
            <w:r>
              <w:rPr>
                <w:rFonts w:cs="Times New Roman"/>
              </w:rPr>
              <w:t>338.690</w:t>
            </w:r>
          </w:p>
        </w:tc>
        <w:tc>
          <w:tcPr>
            <w:tcW w:w="1632" w:type="dxa"/>
          </w:tcPr>
          <w:p w:rsidR="00905089" w:rsidRDefault="00905089" w:rsidP="00AF2F06">
            <w:pPr>
              <w:pStyle w:val="CellColumn"/>
            </w:pPr>
            <w:r>
              <w:rPr>
                <w:rFonts w:cs="Times New Roman"/>
              </w:rPr>
              <w:t>338.690</w:t>
            </w:r>
          </w:p>
        </w:tc>
        <w:tc>
          <w:tcPr>
            <w:tcW w:w="510" w:type="dxa"/>
          </w:tcPr>
          <w:p w:rsidR="00905089" w:rsidRDefault="00905089" w:rsidP="00AF2F06">
            <w:pPr>
              <w:pStyle w:val="CellColumn"/>
            </w:pPr>
            <w:r>
              <w:rPr>
                <w:rFonts w:cs="Times New Roman"/>
              </w:rPr>
              <w:t>39,1</w:t>
            </w:r>
          </w:p>
        </w:tc>
      </w:tr>
    </w:tbl>
    <w:p w:rsidR="00905089" w:rsidRDefault="00905089" w:rsidP="00905089">
      <w:pPr>
        <w:jc w:val="left"/>
      </w:pPr>
    </w:p>
    <w:p w:rsidR="00905089" w:rsidRDefault="00905089" w:rsidP="00905089">
      <w:r>
        <w:t xml:space="preserve">U 2026. godini planirana je provedba 7 inicijalnih akreditacija doktorskih studija, 3 inicijalne akreditacije znanstvenih instituta i 5 reakreditacija znanstvenih instituta. U 2027. godini planirana je provedba 7 inicijalnih akreditacija doktorskih studija, 3 inicijalne akreditacije znanstvenih instituta i 10 reakreditacija znanstvenih instituta. U 2028. godini planirana je provedba 7 inicijalnih akreditacija doktorskih studija, 3 inicijalne akreditacije znanstvenih instituta i 10 reakreditacija znanstvenih instituta.                                                                                                                      U 2026., 2027. i 2028. godini planirano je po sedam inicijalnih akreditacija doktorskih studija. Inicijalna akreditacija doktorskih studija pokreće se prema zaprimljenim zahtjevima. Izračun za provođenje postupaka inicijalne akreditacije doktorskih studija izrađen je na temelju naknada za peteročlano stručno povjerenstvo u skladu s Odlukom, potrebom prijevoda i lekture izvješća stručnih povjerenstava, troškova prijevoza i smještaja stručnih povjerenstava i koordinatora iz Agencije, dnevnica koordinatora te troškovi ručka i najma dvorane. </w:t>
      </w:r>
    </w:p>
    <w:p w:rsidR="00905089" w:rsidRDefault="00905089" w:rsidP="00905089">
      <w:r>
        <w:t xml:space="preserve">U 2026., 2027. i 2028. godini planirane su po tri inicijalne akreditacije znanstvenog instituta. Inicijalna akreditacija znanstvenog instituta pokreće se prema zaprimljenim zahtjevima. Izračun za provođenje postupaka inicijalne akreditacije znanstvenog instituta utemeljen je na troškovima naknada za peteročlano stručno povjerenstvo u skladu s Odlukom, prijevodu i lekturi izvješća, službenim putovanjima članova stručnih povjerenstava, zatim dnevnica za koordinatore iz Agencije, njihova prijevoza i smještaja te najma dvorane za sastanke. </w:t>
      </w:r>
    </w:p>
    <w:p w:rsidR="00905089" w:rsidRDefault="00905089" w:rsidP="00905089">
      <w:r>
        <w:t>U 2026., 2027. i 2028. planirana je reakreditacija ukupno 25 znanstvenih instituta. Troškovi za provođenje postupka koji se u skladu sa Zakonom provodi svakih pet godina odnose se na naknade za peteročlana stručna povjerenstva u skladu s Odlukom, prijevod i lekturu izvješća, troškove smještaja, prijevoza i ostalo za stručna povjerenstva, najam dvorane za sastanke, dnevnice, smještaj i prijevoz koordinatora iz Agencije.</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16"/>
        <w:gridCol w:w="1949"/>
        <w:gridCol w:w="1781"/>
        <w:gridCol w:w="917"/>
        <w:gridCol w:w="892"/>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lastRenderedPageBreak/>
              <w:t>Broj provedenih inicijalnih akreditacija doktorskih studija</w:t>
            </w:r>
          </w:p>
        </w:tc>
        <w:tc>
          <w:tcPr>
            <w:tcW w:w="2245" w:type="dxa"/>
          </w:tcPr>
          <w:p w:rsidR="00905089" w:rsidRDefault="00905089" w:rsidP="00AF2F06">
            <w:pPr>
              <w:pStyle w:val="CellColumn"/>
            </w:pPr>
            <w:r>
              <w:rPr>
                <w:rFonts w:cs="Times New Roman"/>
              </w:rPr>
              <w:t>Inicijalna akreditacija doktorskog studija provodi se u skladu sa Zakonom u cilju osiguravanja i unaprjeđivanja kvalitete doktorskih studija.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7</w:t>
            </w:r>
          </w:p>
        </w:tc>
        <w:tc>
          <w:tcPr>
            <w:tcW w:w="918" w:type="dxa"/>
          </w:tcPr>
          <w:p w:rsidR="00905089" w:rsidRDefault="00905089" w:rsidP="00AF2F06">
            <w:pPr>
              <w:pStyle w:val="CellColumn"/>
            </w:pPr>
            <w:r>
              <w:rPr>
                <w:rFonts w:cs="Times New Roman"/>
              </w:rPr>
              <w:t>7</w:t>
            </w:r>
          </w:p>
        </w:tc>
        <w:tc>
          <w:tcPr>
            <w:tcW w:w="918" w:type="dxa"/>
          </w:tcPr>
          <w:p w:rsidR="00905089" w:rsidRDefault="00905089" w:rsidP="00AF2F06">
            <w:pPr>
              <w:pStyle w:val="CellColumn"/>
            </w:pPr>
            <w:r>
              <w:rPr>
                <w:rFonts w:cs="Times New Roman"/>
              </w:rPr>
              <w:t>7</w:t>
            </w:r>
          </w:p>
        </w:tc>
      </w:tr>
      <w:tr w:rsidR="00905089" w:rsidTr="00AF2F06">
        <w:trPr>
          <w:jc w:val="center"/>
        </w:trPr>
        <w:tc>
          <w:tcPr>
            <w:tcW w:w="2245" w:type="dxa"/>
          </w:tcPr>
          <w:p w:rsidR="00905089" w:rsidRDefault="00905089" w:rsidP="00AF2F06">
            <w:pPr>
              <w:pStyle w:val="CellColumn"/>
            </w:pPr>
            <w:r>
              <w:rPr>
                <w:rFonts w:cs="Times New Roman"/>
              </w:rPr>
              <w:t>Broj provedenih inicijalnih akreditacija znanstvenih instituta</w:t>
            </w:r>
          </w:p>
        </w:tc>
        <w:tc>
          <w:tcPr>
            <w:tcW w:w="2245" w:type="dxa"/>
          </w:tcPr>
          <w:p w:rsidR="00905089" w:rsidRDefault="00905089" w:rsidP="00AF2F06">
            <w:pPr>
              <w:pStyle w:val="CellColumn"/>
            </w:pPr>
            <w:r>
              <w:rPr>
                <w:rFonts w:cs="Times New Roman"/>
              </w:rPr>
              <w:t>Inicijalna akreditacija znanstvenih instituta provodi se u skladu sa Zakonom u cilju osiguravanja i unaprjeđivanja kvalitete znanstvenih instituta i sustava znanosti RH.</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3</w:t>
            </w:r>
          </w:p>
        </w:tc>
        <w:tc>
          <w:tcPr>
            <w:tcW w:w="918" w:type="dxa"/>
          </w:tcPr>
          <w:p w:rsidR="00905089" w:rsidRDefault="00905089" w:rsidP="00AF2F06">
            <w:pPr>
              <w:pStyle w:val="CellColumn"/>
            </w:pPr>
            <w:r>
              <w:rPr>
                <w:rFonts w:cs="Times New Roman"/>
              </w:rPr>
              <w:t>3</w:t>
            </w:r>
          </w:p>
        </w:tc>
        <w:tc>
          <w:tcPr>
            <w:tcW w:w="918" w:type="dxa"/>
          </w:tcPr>
          <w:p w:rsidR="00905089" w:rsidRDefault="00905089" w:rsidP="00AF2F06">
            <w:pPr>
              <w:pStyle w:val="CellColumn"/>
            </w:pPr>
            <w:r>
              <w:rPr>
                <w:rFonts w:cs="Times New Roman"/>
              </w:rPr>
              <w:t>3</w:t>
            </w:r>
          </w:p>
        </w:tc>
      </w:tr>
      <w:tr w:rsidR="00905089" w:rsidTr="00AF2F06">
        <w:trPr>
          <w:jc w:val="center"/>
        </w:trPr>
        <w:tc>
          <w:tcPr>
            <w:tcW w:w="2245" w:type="dxa"/>
          </w:tcPr>
          <w:p w:rsidR="00905089" w:rsidRDefault="00905089" w:rsidP="00AF2F06">
            <w:pPr>
              <w:pStyle w:val="CellColumn"/>
            </w:pPr>
            <w:r>
              <w:rPr>
                <w:rFonts w:cs="Times New Roman"/>
              </w:rPr>
              <w:t>Broj provedenih reakreditacija znanstvenih instituta</w:t>
            </w:r>
          </w:p>
        </w:tc>
        <w:tc>
          <w:tcPr>
            <w:tcW w:w="2245" w:type="dxa"/>
          </w:tcPr>
          <w:p w:rsidR="00905089" w:rsidRDefault="00905089" w:rsidP="00AF2F06">
            <w:pPr>
              <w:pStyle w:val="CellColumn"/>
            </w:pPr>
            <w:r>
              <w:rPr>
                <w:rFonts w:cs="Times New Roman"/>
              </w:rPr>
              <w:t>Reakreditacija znanstvenih instituta provodi se u skladu sa Zakonom u cilju osiguravanja i unaprjeđivanja kvalitete znanstvenih instituta i sustava znanosti RH.</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5</w:t>
            </w:r>
          </w:p>
        </w:tc>
        <w:tc>
          <w:tcPr>
            <w:tcW w:w="918" w:type="dxa"/>
          </w:tcPr>
          <w:p w:rsidR="00905089" w:rsidRDefault="00905089" w:rsidP="00AF2F06">
            <w:pPr>
              <w:pStyle w:val="CellColumn"/>
            </w:pPr>
            <w:r>
              <w:rPr>
                <w:rFonts w:cs="Times New Roman"/>
              </w:rPr>
              <w:t>5</w:t>
            </w:r>
          </w:p>
        </w:tc>
        <w:tc>
          <w:tcPr>
            <w:tcW w:w="918" w:type="dxa"/>
          </w:tcPr>
          <w:p w:rsidR="00905089" w:rsidRDefault="00905089" w:rsidP="00AF2F06">
            <w:pPr>
              <w:pStyle w:val="CellColumn"/>
            </w:pPr>
            <w:r>
              <w:rPr>
                <w:rFonts w:cs="Times New Roman"/>
              </w:rPr>
              <w:t>10</w:t>
            </w:r>
          </w:p>
        </w:tc>
      </w:tr>
    </w:tbl>
    <w:p w:rsidR="00905089" w:rsidRDefault="00905089" w:rsidP="00905089">
      <w:pPr>
        <w:jc w:val="left"/>
      </w:pPr>
    </w:p>
    <w:p w:rsidR="00905089" w:rsidRDefault="00905089" w:rsidP="00905089">
      <w:pPr>
        <w:pStyle w:val="Heading4"/>
      </w:pPr>
      <w:r>
        <w:t>A621187 VREDNOVANJE VISOKIH UČILIŠTA</w:t>
      </w:r>
    </w:p>
    <w:p w:rsidR="00905089" w:rsidRDefault="00905089" w:rsidP="00905089">
      <w:pPr>
        <w:pStyle w:val="Heading8"/>
        <w:jc w:val="left"/>
      </w:pPr>
      <w:r>
        <w:t>Zakonske i druge pravne osnove</w:t>
      </w:r>
    </w:p>
    <w:p w:rsidR="00905089" w:rsidRDefault="00905089" w:rsidP="00905089">
      <w:pPr>
        <w:pStyle w:val="Normal5"/>
      </w:pPr>
      <w:r>
        <w:t>Odluka o visini i načinu isplate naknada za rad predsjednika i članova stručnih povjerenstava u postupcima vanjskog vrednovanja, Zakon o osiguravanju kvalitete u visokom obrazovanju i znanosti (čl. 22. st. 1. – sva javna i privatna visoka učilišta i znanstvene organizacije kojima je osnivač RH podliježu periodičnoj reakreditaciji svakih pet godina).</w:t>
      </w:r>
    </w:p>
    <w:tbl>
      <w:tblPr>
        <w:tblStyle w:val="StilTablice"/>
        <w:tblW w:w="10206" w:type="dxa"/>
        <w:jc w:val="center"/>
        <w:tblLook w:val="04A0" w:firstRow="1" w:lastRow="0" w:firstColumn="1" w:lastColumn="0" w:noHBand="0" w:noVBand="1"/>
      </w:tblPr>
      <w:tblGrid>
        <w:gridCol w:w="1582"/>
        <w:gridCol w:w="1532"/>
        <w:gridCol w:w="1521"/>
        <w:gridCol w:w="1521"/>
        <w:gridCol w:w="1540"/>
        <w:gridCol w:w="1540"/>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A621187-VREDNOVANJE VISOKIH UČILIŠTA</w:t>
            </w:r>
          </w:p>
        </w:tc>
        <w:tc>
          <w:tcPr>
            <w:tcW w:w="1632" w:type="dxa"/>
          </w:tcPr>
          <w:p w:rsidR="00905089" w:rsidRDefault="00905089" w:rsidP="00AF2F06">
            <w:pPr>
              <w:pStyle w:val="CellColumn"/>
            </w:pPr>
            <w:r>
              <w:rPr>
                <w:rFonts w:cs="Times New Roman"/>
              </w:rPr>
              <w:t>651.495</w:t>
            </w:r>
          </w:p>
        </w:tc>
        <w:tc>
          <w:tcPr>
            <w:tcW w:w="1632" w:type="dxa"/>
          </w:tcPr>
          <w:p w:rsidR="00905089" w:rsidRDefault="00905089" w:rsidP="00AF2F06">
            <w:pPr>
              <w:pStyle w:val="CellColumn"/>
            </w:pPr>
            <w:r>
              <w:rPr>
                <w:rFonts w:cs="Times New Roman"/>
              </w:rPr>
              <w:t>609.800</w:t>
            </w:r>
          </w:p>
        </w:tc>
        <w:tc>
          <w:tcPr>
            <w:tcW w:w="1632" w:type="dxa"/>
          </w:tcPr>
          <w:p w:rsidR="00905089" w:rsidRDefault="00905089" w:rsidP="00AF2F06">
            <w:pPr>
              <w:pStyle w:val="CellColumn"/>
            </w:pPr>
            <w:r>
              <w:rPr>
                <w:rFonts w:cs="Times New Roman"/>
              </w:rPr>
              <w:t>645.800</w:t>
            </w:r>
          </w:p>
        </w:tc>
        <w:tc>
          <w:tcPr>
            <w:tcW w:w="1632" w:type="dxa"/>
          </w:tcPr>
          <w:p w:rsidR="00905089" w:rsidRDefault="00905089" w:rsidP="00AF2F06">
            <w:pPr>
              <w:pStyle w:val="CellColumn"/>
            </w:pPr>
            <w:r>
              <w:rPr>
                <w:rFonts w:cs="Times New Roman"/>
              </w:rPr>
              <w:t>1.019.500</w:t>
            </w:r>
          </w:p>
        </w:tc>
        <w:tc>
          <w:tcPr>
            <w:tcW w:w="1632" w:type="dxa"/>
          </w:tcPr>
          <w:p w:rsidR="00905089" w:rsidRDefault="00905089" w:rsidP="00AF2F06">
            <w:pPr>
              <w:pStyle w:val="CellColumn"/>
            </w:pPr>
            <w:r>
              <w:rPr>
                <w:rFonts w:cs="Times New Roman"/>
              </w:rPr>
              <w:t>1.129.500</w:t>
            </w:r>
          </w:p>
        </w:tc>
        <w:tc>
          <w:tcPr>
            <w:tcW w:w="510" w:type="dxa"/>
          </w:tcPr>
          <w:p w:rsidR="00905089" w:rsidRDefault="00905089" w:rsidP="00AF2F06">
            <w:pPr>
              <w:pStyle w:val="CellColumn"/>
            </w:pPr>
            <w:r>
              <w:rPr>
                <w:rFonts w:cs="Times New Roman"/>
              </w:rPr>
              <w:t>105,9</w:t>
            </w:r>
          </w:p>
        </w:tc>
      </w:tr>
    </w:tbl>
    <w:p w:rsidR="00905089" w:rsidRDefault="00905089" w:rsidP="00905089">
      <w:pPr>
        <w:jc w:val="left"/>
      </w:pPr>
    </w:p>
    <w:p w:rsidR="00905089" w:rsidRDefault="00905089" w:rsidP="00905089">
      <w:r>
        <w:t xml:space="preserve">AZVO u skladu sa svojom zakonskom obvezom i kao jednom od svojih prioritetnih aktivnosti provodi postupke vanjskih vrednovanja. To su prije svega postupak reakreditacije visokih učilišta koji je obvezan te se provodi u petogodišnjim ciklusima te postupak inicijalne akreditacije studija. U 2024. g. započeo je treći ciklus reakreditacije visokih učilišta u skladu s novim ZOK-om.     </w:t>
      </w:r>
    </w:p>
    <w:p w:rsidR="00905089" w:rsidRDefault="00905089" w:rsidP="00905089">
      <w:r>
        <w:t xml:space="preserve">U 2026. planira se provedba reakreditacije 10 visokih učilišta. Unutar postupka reakreditiraju se i svi programi tog visokog učilišta. U jednom reakreditacijskom postupku sudjeluje najmanje pet članova povjerenstva, koje uključuje i međunarodne stručnjake i posjet traje 4-5 dana, ovisno o veličini institucije. AZVO je dužan svim članovima povjerenstava isplatiti naknadu za intelektualne usluge, pokriti troškove prijevoza i smještaja te prehrane. Također, u posjetu sudjeluje i djelatnik AZVO-a koji je koordinator, a kod većih visokih učilišta i pomoćni koordinator. Trošak koordinatora i pomoćnog </w:t>
      </w:r>
      <w:r>
        <w:lastRenderedPageBreak/>
        <w:t xml:space="preserve">koordinatora uključuje prijevoz i smještaj te dnevnice ako je reakreditacija izvan mjesta prebivališta. Uz njih, u posjetu sudjeluje i prevoditelj te trošak uključuje prijevoz i smještaj, kao i naknadu za intelektualne usluge prevoditelja. Osim troška prevođenja, potrebno je uključiti i trošak lekture završnog izvješća (prijevod i lektura potrebni su jer se izvješća javno objavljuju na stranicama AZVO-a i europskog DEQAR-a).    </w:t>
      </w:r>
    </w:p>
    <w:p w:rsidR="00905089" w:rsidRDefault="00905089" w:rsidP="00905089">
      <w:r>
        <w:t xml:space="preserve">Troškovi provedbe postupka reakreditacije za navedenih 10 visokih učilišta obuhvaćaju naknade za članove povjerenstava, prevoditelja i lektora u iznosu od 127.500 eura, troškove službenih putovanja za članove povjerenstava i prevoditelja u iznosu od 70.980 eura, službena putovanja koordinatora AZVO-a  u iznosu od 15.300 eura.    </w:t>
      </w:r>
    </w:p>
    <w:p w:rsidR="00905089" w:rsidRDefault="00905089" w:rsidP="00905089">
      <w:r>
        <w:t xml:space="preserve">U planirana sredstva za 2026. g. potrebno je uračunati i povećani trošak za inicijalnu akreditaciju studijskih programa od stupanja na snagu novog ZOK-a u kojem svi novi studiji javnih sveučilišta podliježu postupku inicijalne akreditacije koji provodi AZVO. U 2026. g. predviđa se provedba 20 inicijalnih akreditacija jer je procjena da će toliko zahtjeva biti zaprimljeno. U jednom postupku inicijalne akreditacije sudjeluje najmanje peteročlano povjerenstvo koje uključuje i međunarodne stručnjake, a po potrebi može biti i veći broj članova. Postupak inicijalne akreditacije studijskog programa traje 2-3 dana. AZVO je dužan svim članovima povjerenstava isplatiti naknadu za intelektualne usluge, pokriti troškove prijevoza i smještaja te prehranu. Također, u posjetu sudjeluje i djelatnik AZVO-a koji je koordinator, a kod većih visokih učilišta i pomoćni koordinator. Troškovi koordinatora i pomoćnog koordinatora uključuju prijevoz i smještaj te dnevnice ako je inicijalna akreditacija izvan mjesta prebivališta. U posjetu sudjeluje i prevoditelj te trošak uključuje prijevoz i smještaj, kao i naknadu za intelektualne usluge prevoditelja. Osim troška prevođenja, potrebno je uključiti i trošak lekture završnog (prijevod i lektura potrebni su jer se izvješća javno objavljuju i na stranicama AZVO-a i europskog DEQAR-a).    </w:t>
      </w:r>
    </w:p>
    <w:p w:rsidR="00905089" w:rsidRDefault="00905089" w:rsidP="00905089">
      <w:r>
        <w:t>Troškovi provedbe navedenih 20 inicijalnih akreditacija visokih učilišta i/ili studijskih programa obuhvaćaju naknade za članove povjerenstva, prevoditelja i lektora u iznosu od 152.960 eura, troškove službenih putovanja za članove povjerenstava i prevoditelja u iznosu od 115.000 eura, službena putovanja koordinatora AZVO-a u iznosu od 20.660 eura.</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37"/>
        <w:gridCol w:w="1940"/>
        <w:gridCol w:w="1769"/>
        <w:gridCol w:w="917"/>
        <w:gridCol w:w="892"/>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reakreditiranih visokih učilišta u drugom ciklusu</w:t>
            </w:r>
          </w:p>
        </w:tc>
        <w:tc>
          <w:tcPr>
            <w:tcW w:w="2245" w:type="dxa"/>
          </w:tcPr>
          <w:p w:rsidR="00905089" w:rsidRDefault="00905089" w:rsidP="00AF2F06">
            <w:pPr>
              <w:pStyle w:val="CellColumn"/>
            </w:pPr>
            <w:r>
              <w:rPr>
                <w:rFonts w:cs="Times New Roman"/>
              </w:rPr>
              <w:t>Reakreditacija visokih učilišta provodi se u skladu sa ZOK-om s ciljem osiguravanja i unaprjeđivanja kvalitete visokih učilišta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10</w:t>
            </w:r>
          </w:p>
        </w:tc>
        <w:tc>
          <w:tcPr>
            <w:tcW w:w="918" w:type="dxa"/>
          </w:tcPr>
          <w:p w:rsidR="00905089" w:rsidRDefault="00905089" w:rsidP="00AF2F06">
            <w:pPr>
              <w:pStyle w:val="CellColumn"/>
            </w:pPr>
            <w:r>
              <w:rPr>
                <w:rFonts w:cs="Times New Roman"/>
              </w:rPr>
              <w:t>25</w:t>
            </w:r>
          </w:p>
        </w:tc>
        <w:tc>
          <w:tcPr>
            <w:tcW w:w="918" w:type="dxa"/>
          </w:tcPr>
          <w:p w:rsidR="00905089" w:rsidRDefault="00905089" w:rsidP="00AF2F06">
            <w:pPr>
              <w:pStyle w:val="CellColumn"/>
            </w:pPr>
            <w:r>
              <w:rPr>
                <w:rFonts w:cs="Times New Roman"/>
              </w:rPr>
              <w:t>30</w:t>
            </w:r>
          </w:p>
        </w:tc>
      </w:tr>
      <w:tr w:rsidR="00905089" w:rsidTr="00AF2F06">
        <w:trPr>
          <w:jc w:val="center"/>
        </w:trPr>
        <w:tc>
          <w:tcPr>
            <w:tcW w:w="2245" w:type="dxa"/>
          </w:tcPr>
          <w:p w:rsidR="00905089" w:rsidRDefault="00905089" w:rsidP="00AF2F06">
            <w:pPr>
              <w:pStyle w:val="CellColumn"/>
            </w:pPr>
            <w:r>
              <w:rPr>
                <w:rFonts w:cs="Times New Roman"/>
              </w:rPr>
              <w:t>Broj inicijalnih akreditacija</w:t>
            </w:r>
          </w:p>
        </w:tc>
        <w:tc>
          <w:tcPr>
            <w:tcW w:w="2245" w:type="dxa"/>
          </w:tcPr>
          <w:p w:rsidR="00905089" w:rsidRDefault="00905089" w:rsidP="00AF2F06">
            <w:pPr>
              <w:pStyle w:val="CellColumn"/>
            </w:pPr>
            <w:r>
              <w:rPr>
                <w:rFonts w:cs="Times New Roman"/>
              </w:rPr>
              <w:t>Inicijalna akreditacija visokih učilišta i/ili studijskih programa provodi se u skladu sa ZOK-om s ciljem zaštite kvalitete novih visokih učilišta i studijskih programa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20</w:t>
            </w:r>
          </w:p>
        </w:tc>
        <w:tc>
          <w:tcPr>
            <w:tcW w:w="918" w:type="dxa"/>
          </w:tcPr>
          <w:p w:rsidR="00905089" w:rsidRDefault="00905089" w:rsidP="00AF2F06">
            <w:pPr>
              <w:pStyle w:val="CellColumn"/>
            </w:pPr>
            <w:r>
              <w:rPr>
                <w:rFonts w:cs="Times New Roman"/>
              </w:rPr>
              <w:t>35</w:t>
            </w:r>
          </w:p>
        </w:tc>
        <w:tc>
          <w:tcPr>
            <w:tcW w:w="918" w:type="dxa"/>
          </w:tcPr>
          <w:p w:rsidR="00905089" w:rsidRDefault="00905089" w:rsidP="00AF2F06">
            <w:pPr>
              <w:pStyle w:val="CellColumn"/>
            </w:pPr>
            <w:r>
              <w:rPr>
                <w:rFonts w:cs="Times New Roman"/>
              </w:rPr>
              <w:t>35</w:t>
            </w:r>
          </w:p>
        </w:tc>
      </w:tr>
    </w:tbl>
    <w:p w:rsidR="00905089" w:rsidRDefault="00905089" w:rsidP="00905089">
      <w:pPr>
        <w:jc w:val="left"/>
      </w:pPr>
    </w:p>
    <w:p w:rsidR="00905089" w:rsidRDefault="00905089" w:rsidP="00905089">
      <w:pPr>
        <w:pStyle w:val="Heading4"/>
      </w:pPr>
      <w:r>
        <w:lastRenderedPageBreak/>
        <w:t>A621191 PRAĆENJE ZAPOŠLJAVANJA DIPLOMIRANIH STUDENATA</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 Zakon o Hrvatskom kvalifikacijskom okviru.</w:t>
      </w:r>
    </w:p>
    <w:tbl>
      <w:tblPr>
        <w:tblStyle w:val="StilTablice"/>
        <w:tblW w:w="10206" w:type="dxa"/>
        <w:jc w:val="center"/>
        <w:tblLook w:val="04A0" w:firstRow="1" w:lastRow="0" w:firstColumn="1" w:lastColumn="0" w:noHBand="0" w:noVBand="1"/>
      </w:tblPr>
      <w:tblGrid>
        <w:gridCol w:w="1749"/>
        <w:gridCol w:w="1519"/>
        <w:gridCol w:w="1492"/>
        <w:gridCol w:w="1492"/>
        <w:gridCol w:w="1492"/>
        <w:gridCol w:w="1492"/>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A621191-PRAĆENJE ZAPOŠLJAVANJA DIPLOMIRANIH STUDENATA</w:t>
            </w:r>
          </w:p>
        </w:tc>
        <w:tc>
          <w:tcPr>
            <w:tcW w:w="1632" w:type="dxa"/>
          </w:tcPr>
          <w:p w:rsidR="00905089" w:rsidRDefault="00905089" w:rsidP="00AF2F06">
            <w:pPr>
              <w:pStyle w:val="CellColumn"/>
            </w:pPr>
            <w:r>
              <w:rPr>
                <w:rFonts w:cs="Times New Roman"/>
              </w:rPr>
              <w:t>20.356</w:t>
            </w:r>
          </w:p>
        </w:tc>
        <w:tc>
          <w:tcPr>
            <w:tcW w:w="1632" w:type="dxa"/>
          </w:tcPr>
          <w:p w:rsidR="00905089" w:rsidRDefault="00905089" w:rsidP="00AF2F06">
            <w:pPr>
              <w:pStyle w:val="CellColumn"/>
            </w:pPr>
            <w:r>
              <w:rPr>
                <w:rFonts w:cs="Times New Roman"/>
              </w:rPr>
              <w:t>29.150</w:t>
            </w:r>
          </w:p>
        </w:tc>
        <w:tc>
          <w:tcPr>
            <w:tcW w:w="1632" w:type="dxa"/>
          </w:tcPr>
          <w:p w:rsidR="00905089" w:rsidRDefault="00905089" w:rsidP="00AF2F06">
            <w:pPr>
              <w:pStyle w:val="CellColumn"/>
            </w:pPr>
            <w:r>
              <w:rPr>
                <w:rFonts w:cs="Times New Roman"/>
              </w:rPr>
              <w:t>29.150</w:t>
            </w:r>
          </w:p>
        </w:tc>
        <w:tc>
          <w:tcPr>
            <w:tcW w:w="1632" w:type="dxa"/>
          </w:tcPr>
          <w:p w:rsidR="00905089" w:rsidRDefault="00905089" w:rsidP="00AF2F06">
            <w:pPr>
              <w:pStyle w:val="CellColumn"/>
            </w:pPr>
            <w:r>
              <w:rPr>
                <w:rFonts w:cs="Times New Roman"/>
              </w:rPr>
              <w:t>30.000</w:t>
            </w:r>
          </w:p>
        </w:tc>
        <w:tc>
          <w:tcPr>
            <w:tcW w:w="1632" w:type="dxa"/>
          </w:tcPr>
          <w:p w:rsidR="00905089" w:rsidRDefault="00905089" w:rsidP="00AF2F06">
            <w:pPr>
              <w:pStyle w:val="CellColumn"/>
            </w:pPr>
            <w:r>
              <w:rPr>
                <w:rFonts w:cs="Times New Roman"/>
              </w:rPr>
              <w:t>30.000</w:t>
            </w:r>
          </w:p>
        </w:tc>
        <w:tc>
          <w:tcPr>
            <w:tcW w:w="510" w:type="dxa"/>
          </w:tcPr>
          <w:p w:rsidR="00905089" w:rsidRDefault="00905089" w:rsidP="00AF2F06">
            <w:pPr>
              <w:pStyle w:val="CellColumn"/>
            </w:pPr>
            <w:r>
              <w:rPr>
                <w:rFonts w:cs="Times New Roman"/>
              </w:rPr>
              <w:t>100,0</w:t>
            </w:r>
          </w:p>
        </w:tc>
      </w:tr>
    </w:tbl>
    <w:p w:rsidR="00905089" w:rsidRDefault="00905089" w:rsidP="00905089">
      <w:pPr>
        <w:jc w:val="left"/>
      </w:pPr>
    </w:p>
    <w:p w:rsidR="00905089" w:rsidRDefault="00905089" w:rsidP="00905089">
      <w:r>
        <w:t xml:space="preserve">Sredstva na aktivnosti  namijenjena su za provođenje anketiranja o zapošljivosti diplomiranih studenata i analizu podataka nakon provedenoga anketnog istraživanja. Potreban je angažman vanjskih stručnjaka za obrazovanje i tržište rada koji pripremaju pitanja za upitnik, surađuju s AZVO-om na određivanju ciljane skupine za istraživanje te analiziraju podatke nakon provedenoga anketnog istraživanja.  </w:t>
      </w:r>
    </w:p>
    <w:p w:rsidR="00905089" w:rsidRDefault="00905089" w:rsidP="00905089">
      <w:r>
        <w:t>Istraživanje i analiza rezultata provodi se svake godine.</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18"/>
        <w:gridCol w:w="1919"/>
        <w:gridCol w:w="1807"/>
        <w:gridCol w:w="917"/>
        <w:gridCol w:w="894"/>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Izrađena analiza zapošljivosti diplomiranih studenata</w:t>
            </w:r>
          </w:p>
        </w:tc>
        <w:tc>
          <w:tcPr>
            <w:tcW w:w="2245" w:type="dxa"/>
          </w:tcPr>
          <w:p w:rsidR="00905089" w:rsidRDefault="00905089" w:rsidP="00AF2F06">
            <w:pPr>
              <w:pStyle w:val="CellColumn"/>
            </w:pPr>
            <w:r>
              <w:rPr>
                <w:rFonts w:cs="Times New Roman"/>
              </w:rPr>
              <w:t>Analiza zapošljivosti diplomiranih studenata provodi se s ciljem dobivanja informacija o zapošljivosti završenih studenata i relevantnosti studijskih programa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1</w:t>
            </w:r>
          </w:p>
        </w:tc>
      </w:tr>
    </w:tbl>
    <w:p w:rsidR="00905089" w:rsidRDefault="00905089" w:rsidP="00905089">
      <w:pPr>
        <w:jc w:val="left"/>
      </w:pPr>
    </w:p>
    <w:p w:rsidR="00905089" w:rsidRDefault="00905089" w:rsidP="00905089">
      <w:pPr>
        <w:pStyle w:val="Heading4"/>
      </w:pPr>
      <w:r>
        <w:t>A621192 TROŠKOVI SREDIŠNJEG PRIJAVNOG UREDA</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 Zakon o priznavanju i vrednovanju inozemnih obrazovnih kvalifikacija</w:t>
      </w:r>
    </w:p>
    <w:tbl>
      <w:tblPr>
        <w:tblStyle w:val="StilTablice"/>
        <w:tblW w:w="10206" w:type="dxa"/>
        <w:jc w:val="center"/>
        <w:tblLook w:val="04A0" w:firstRow="1" w:lastRow="0" w:firstColumn="1" w:lastColumn="0" w:noHBand="0" w:noVBand="1"/>
      </w:tblPr>
      <w:tblGrid>
        <w:gridCol w:w="1509"/>
        <w:gridCol w:w="1559"/>
        <w:gridCol w:w="1542"/>
        <w:gridCol w:w="1542"/>
        <w:gridCol w:w="1542"/>
        <w:gridCol w:w="1542"/>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A621192-TROŠKOVI SREDIŠNJEG PRIJAVNOG UREDA</w:t>
            </w:r>
          </w:p>
        </w:tc>
        <w:tc>
          <w:tcPr>
            <w:tcW w:w="1632" w:type="dxa"/>
          </w:tcPr>
          <w:p w:rsidR="00905089" w:rsidRDefault="00905089" w:rsidP="00AF2F06">
            <w:pPr>
              <w:pStyle w:val="CellColumn"/>
            </w:pPr>
            <w:r>
              <w:rPr>
                <w:rFonts w:cs="Times New Roman"/>
              </w:rPr>
              <w:t>44.464</w:t>
            </w:r>
          </w:p>
        </w:tc>
        <w:tc>
          <w:tcPr>
            <w:tcW w:w="1632" w:type="dxa"/>
          </w:tcPr>
          <w:p w:rsidR="00905089" w:rsidRDefault="00905089" w:rsidP="00AF2F06">
            <w:pPr>
              <w:pStyle w:val="CellColumn"/>
            </w:pPr>
            <w:r>
              <w:rPr>
                <w:rFonts w:cs="Times New Roman"/>
              </w:rPr>
              <w:t>55.000</w:t>
            </w:r>
          </w:p>
        </w:tc>
        <w:tc>
          <w:tcPr>
            <w:tcW w:w="1632" w:type="dxa"/>
          </w:tcPr>
          <w:p w:rsidR="00905089" w:rsidRDefault="00905089" w:rsidP="00AF2F06">
            <w:pPr>
              <w:pStyle w:val="CellColumn"/>
            </w:pPr>
            <w:r>
              <w:rPr>
                <w:rFonts w:cs="Times New Roman"/>
              </w:rPr>
              <w:t>55.000</w:t>
            </w:r>
          </w:p>
        </w:tc>
        <w:tc>
          <w:tcPr>
            <w:tcW w:w="1632" w:type="dxa"/>
          </w:tcPr>
          <w:p w:rsidR="00905089" w:rsidRDefault="00905089" w:rsidP="00AF2F06">
            <w:pPr>
              <w:pStyle w:val="CellColumn"/>
            </w:pPr>
            <w:r>
              <w:rPr>
                <w:rFonts w:cs="Times New Roman"/>
              </w:rPr>
              <w:t>55.000</w:t>
            </w:r>
          </w:p>
        </w:tc>
        <w:tc>
          <w:tcPr>
            <w:tcW w:w="1632" w:type="dxa"/>
          </w:tcPr>
          <w:p w:rsidR="00905089" w:rsidRDefault="00905089" w:rsidP="00AF2F06">
            <w:pPr>
              <w:pStyle w:val="CellColumn"/>
            </w:pPr>
            <w:r>
              <w:rPr>
                <w:rFonts w:cs="Times New Roman"/>
              </w:rPr>
              <w:t>65.000</w:t>
            </w:r>
          </w:p>
        </w:tc>
        <w:tc>
          <w:tcPr>
            <w:tcW w:w="510" w:type="dxa"/>
          </w:tcPr>
          <w:p w:rsidR="00905089" w:rsidRDefault="00905089" w:rsidP="00AF2F06">
            <w:pPr>
              <w:pStyle w:val="CellColumn"/>
            </w:pPr>
            <w:r>
              <w:rPr>
                <w:rFonts w:cs="Times New Roman"/>
              </w:rPr>
              <w:t>100,0</w:t>
            </w:r>
          </w:p>
        </w:tc>
      </w:tr>
    </w:tbl>
    <w:p w:rsidR="00905089" w:rsidRDefault="00905089" w:rsidP="00905089">
      <w:pPr>
        <w:jc w:val="left"/>
      </w:pPr>
    </w:p>
    <w:p w:rsidR="00905089" w:rsidRDefault="00905089" w:rsidP="00905089">
      <w:r>
        <w:lastRenderedPageBreak/>
        <w:t>Sredstva na aktivnosti  namijenjena su za administrativne troškove Središnjeg prijavnog ureda koji obavlja poslove povezane s prijavama za upis na prijediplomske i integrirane studijske programe, prijavama za upis na diplomske studijske programe te poslove priznavanja inozemnih srednjoškolskih i prijediplomskih kvalifikacija u svrhu nastavka obrazovanja.</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10"/>
        <w:gridCol w:w="1969"/>
        <w:gridCol w:w="1768"/>
        <w:gridCol w:w="917"/>
        <w:gridCol w:w="891"/>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visokih učilišta koja provode centraliziranu prijavu studijskih programa</w:t>
            </w:r>
          </w:p>
        </w:tc>
        <w:tc>
          <w:tcPr>
            <w:tcW w:w="2245" w:type="dxa"/>
          </w:tcPr>
          <w:p w:rsidR="00905089" w:rsidRDefault="00905089" w:rsidP="00AF2F06">
            <w:pPr>
              <w:pStyle w:val="CellColumn"/>
            </w:pPr>
            <w:r>
              <w:rPr>
                <w:rFonts w:cs="Times New Roman"/>
              </w:rPr>
              <w:t>Centralizirana prijava programa provodi se s ciljem unaprjeđenja kvalitete i transparentnosti upisnog postupka na studije</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201</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179</w:t>
            </w:r>
          </w:p>
        </w:tc>
        <w:tc>
          <w:tcPr>
            <w:tcW w:w="918" w:type="dxa"/>
          </w:tcPr>
          <w:p w:rsidR="00905089" w:rsidRDefault="00905089" w:rsidP="00AF2F06">
            <w:pPr>
              <w:pStyle w:val="CellColumn"/>
            </w:pPr>
            <w:r>
              <w:rPr>
                <w:rFonts w:cs="Times New Roman"/>
              </w:rPr>
              <w:t>179</w:t>
            </w:r>
          </w:p>
        </w:tc>
        <w:tc>
          <w:tcPr>
            <w:tcW w:w="918" w:type="dxa"/>
          </w:tcPr>
          <w:p w:rsidR="00905089" w:rsidRDefault="00905089" w:rsidP="00AF2F06">
            <w:pPr>
              <w:pStyle w:val="CellColumn"/>
            </w:pPr>
            <w:r>
              <w:rPr>
                <w:rFonts w:cs="Times New Roman"/>
              </w:rPr>
              <w:t>179</w:t>
            </w:r>
          </w:p>
        </w:tc>
      </w:tr>
    </w:tbl>
    <w:p w:rsidR="00905089" w:rsidRDefault="00905089" w:rsidP="00905089">
      <w:pPr>
        <w:jc w:val="left"/>
      </w:pPr>
    </w:p>
    <w:p w:rsidR="00905089" w:rsidRDefault="00905089" w:rsidP="00905089">
      <w:pPr>
        <w:pStyle w:val="Heading4"/>
      </w:pPr>
      <w:r>
        <w:t>A867018 PRIMJENA HRVATSKOG KVALIFIKACIJSKOG OKVIRA U VISOKOM OBRAZOVANJU</w:t>
      </w:r>
    </w:p>
    <w:p w:rsidR="00905089" w:rsidRDefault="00905089" w:rsidP="00905089">
      <w:pPr>
        <w:pStyle w:val="Heading8"/>
        <w:jc w:val="left"/>
      </w:pPr>
      <w:r>
        <w:t>Zakonske i druge pravne osnove</w:t>
      </w:r>
    </w:p>
    <w:p w:rsidR="00905089" w:rsidRDefault="00905089" w:rsidP="00905089">
      <w:pPr>
        <w:pStyle w:val="Normal5"/>
      </w:pPr>
      <w:r>
        <w:t>Zakon o izmjenama i dopuni Zakona o Hrvatskom kvalifikacijskom okviru,  Pravilnik o Registru HKO-a.</w:t>
      </w:r>
    </w:p>
    <w:tbl>
      <w:tblPr>
        <w:tblStyle w:val="StilTablice"/>
        <w:tblW w:w="10206" w:type="dxa"/>
        <w:jc w:val="center"/>
        <w:tblLook w:val="04A0" w:firstRow="1" w:lastRow="0" w:firstColumn="1" w:lastColumn="0" w:noHBand="0" w:noVBand="1"/>
      </w:tblPr>
      <w:tblGrid>
        <w:gridCol w:w="2026"/>
        <w:gridCol w:w="1460"/>
        <w:gridCol w:w="1421"/>
        <w:gridCol w:w="1443"/>
        <w:gridCol w:w="1443"/>
        <w:gridCol w:w="1443"/>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A867018-PRIMJENA HRVATSKOG KVALIFIKACIJSKOG OKVIRA U VISOKOM OBRAZOVANJU</w:t>
            </w:r>
          </w:p>
        </w:tc>
        <w:tc>
          <w:tcPr>
            <w:tcW w:w="1632" w:type="dxa"/>
          </w:tcPr>
          <w:p w:rsidR="00905089" w:rsidRDefault="00905089" w:rsidP="00AF2F06">
            <w:pPr>
              <w:pStyle w:val="CellColumn"/>
            </w:pPr>
            <w:r>
              <w:rPr>
                <w:rFonts w:cs="Times New Roman"/>
              </w:rPr>
              <w:t>46.891</w:t>
            </w:r>
          </w:p>
        </w:tc>
        <w:tc>
          <w:tcPr>
            <w:tcW w:w="1632" w:type="dxa"/>
          </w:tcPr>
          <w:p w:rsidR="00905089" w:rsidRDefault="00905089" w:rsidP="00AF2F06">
            <w:pPr>
              <w:pStyle w:val="CellColumn"/>
            </w:pPr>
            <w:r>
              <w:rPr>
                <w:rFonts w:cs="Times New Roman"/>
              </w:rPr>
              <w:t>94.170</w:t>
            </w:r>
          </w:p>
        </w:tc>
        <w:tc>
          <w:tcPr>
            <w:tcW w:w="1632" w:type="dxa"/>
          </w:tcPr>
          <w:p w:rsidR="00905089" w:rsidRDefault="00905089" w:rsidP="00AF2F06">
            <w:pPr>
              <w:pStyle w:val="CellColumn"/>
            </w:pPr>
            <w:r>
              <w:rPr>
                <w:rFonts w:cs="Times New Roman"/>
              </w:rPr>
              <w:t>140.990</w:t>
            </w:r>
          </w:p>
        </w:tc>
        <w:tc>
          <w:tcPr>
            <w:tcW w:w="1632" w:type="dxa"/>
          </w:tcPr>
          <w:p w:rsidR="00905089" w:rsidRDefault="00905089" w:rsidP="00AF2F06">
            <w:pPr>
              <w:pStyle w:val="CellColumn"/>
            </w:pPr>
            <w:r>
              <w:rPr>
                <w:rFonts w:cs="Times New Roman"/>
              </w:rPr>
              <w:t>140.990</w:t>
            </w:r>
          </w:p>
        </w:tc>
        <w:tc>
          <w:tcPr>
            <w:tcW w:w="1632" w:type="dxa"/>
          </w:tcPr>
          <w:p w:rsidR="00905089" w:rsidRDefault="00905089" w:rsidP="00AF2F06">
            <w:pPr>
              <w:pStyle w:val="CellColumn"/>
            </w:pPr>
            <w:r>
              <w:rPr>
                <w:rFonts w:cs="Times New Roman"/>
              </w:rPr>
              <w:t>140.990</w:t>
            </w:r>
          </w:p>
        </w:tc>
        <w:tc>
          <w:tcPr>
            <w:tcW w:w="510" w:type="dxa"/>
          </w:tcPr>
          <w:p w:rsidR="00905089" w:rsidRDefault="00905089" w:rsidP="00AF2F06">
            <w:pPr>
              <w:pStyle w:val="CellColumn"/>
            </w:pPr>
            <w:r>
              <w:rPr>
                <w:rFonts w:cs="Times New Roman"/>
              </w:rPr>
              <w:t>149,7</w:t>
            </w:r>
          </w:p>
        </w:tc>
      </w:tr>
    </w:tbl>
    <w:p w:rsidR="00905089" w:rsidRDefault="00905089" w:rsidP="00905089">
      <w:pPr>
        <w:jc w:val="left"/>
      </w:pPr>
    </w:p>
    <w:p w:rsidR="00905089" w:rsidRDefault="00905089" w:rsidP="00905089">
      <w:r>
        <w:t xml:space="preserve">AZVO u skladu sa Zakonom o Hrvatskom kvalifikacijskom okviru provodi vrednovanja prijedloga standarda kvalifikacija i skupova ishoda učenja na razini visokog obrazovanja za upis u Registar HKO-a te daje podršku radu 11 sektorskih vijeća. </w:t>
      </w:r>
    </w:p>
    <w:p w:rsidR="00905089" w:rsidRDefault="00905089" w:rsidP="00905089">
      <w:r>
        <w:t xml:space="preserve"> Aktivnosti uključuju podršku sektorskim vijećima, a sredstva su planirana za isplatu naknada članovima i predsjednicima sektorskih vijeća, pokrivanje troškova službenih putovanja članova i predsjednika te ostalih troškova za organizaciju sjednica i osiguravanje uvjeta za rad navedenih tijela. Također, u okviru tih aktivnosti provodi  se vrednovanje prijedloga standarada kvalifikacija. Procjena je da će AZVO u narednim godinama zaprimati  velik broj prijedloga standarada kvalifikacija budući da su u proteklim godinama ti prijedlozi standarada bili izrađeni u okviru provedenih HKO projekata. Predviđa se da će AZVO na godišnjoj razini zaprimati 50 - 100 prijedloga standarda za upis u Registar HKO-a.   </w:t>
      </w:r>
    </w:p>
    <w:p w:rsidR="00905089" w:rsidRDefault="00905089" w:rsidP="00905089">
      <w:r>
        <w:t>Vrednovanje svakoga pojedinog zahtjeva za upis prijedloga standarda kvalifikacije u Registar HKO-a uključuje najmanje tri vanjska recenzenta koji provode stručno vrednovanje prijedloga. AZVO je dužan isplatiti naknadu za rad recenzentima te osigurati uvjete za rad.</w:t>
      </w:r>
    </w:p>
    <w:p w:rsidR="00905089" w:rsidRDefault="00905089" w:rsidP="00905089">
      <w:pPr>
        <w:pStyle w:val="Heading8"/>
        <w:jc w:val="left"/>
      </w:pPr>
      <w:r>
        <w:lastRenderedPageBreak/>
        <w:t>Pokazatelji rezultata</w:t>
      </w:r>
    </w:p>
    <w:tbl>
      <w:tblPr>
        <w:tblStyle w:val="StilTablice"/>
        <w:tblW w:w="10206" w:type="dxa"/>
        <w:jc w:val="center"/>
        <w:tblLook w:val="04A0" w:firstRow="1" w:lastRow="0" w:firstColumn="1" w:lastColumn="0" w:noHBand="0" w:noVBand="1"/>
      </w:tblPr>
      <w:tblGrid>
        <w:gridCol w:w="1848"/>
        <w:gridCol w:w="1848"/>
        <w:gridCol w:w="1728"/>
        <w:gridCol w:w="917"/>
        <w:gridCol w:w="1114"/>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održanih sjednica sektorskih vijeća</w:t>
            </w:r>
          </w:p>
        </w:tc>
        <w:tc>
          <w:tcPr>
            <w:tcW w:w="2245" w:type="dxa"/>
          </w:tcPr>
          <w:p w:rsidR="00905089" w:rsidRDefault="00905089" w:rsidP="00AF2F06">
            <w:pPr>
              <w:pStyle w:val="CellColumn"/>
            </w:pPr>
            <w:r>
              <w:rPr>
                <w:rFonts w:cs="Times New Roman"/>
              </w:rPr>
              <w:t>AZVO pruža podršku sektorskim vijećima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 godišnje izvješće</w:t>
            </w:r>
          </w:p>
        </w:tc>
        <w:tc>
          <w:tcPr>
            <w:tcW w:w="918" w:type="dxa"/>
          </w:tcPr>
          <w:p w:rsidR="00905089" w:rsidRDefault="00905089" w:rsidP="00AF2F06">
            <w:pPr>
              <w:pStyle w:val="CellColumn"/>
            </w:pPr>
            <w:r>
              <w:rPr>
                <w:rFonts w:cs="Times New Roman"/>
              </w:rPr>
              <w:t>50</w:t>
            </w:r>
          </w:p>
        </w:tc>
        <w:tc>
          <w:tcPr>
            <w:tcW w:w="918" w:type="dxa"/>
          </w:tcPr>
          <w:p w:rsidR="00905089" w:rsidRDefault="00905089" w:rsidP="00AF2F06">
            <w:pPr>
              <w:pStyle w:val="CellColumn"/>
            </w:pPr>
            <w:r>
              <w:rPr>
                <w:rFonts w:cs="Times New Roman"/>
              </w:rPr>
              <w:t>50</w:t>
            </w:r>
          </w:p>
        </w:tc>
        <w:tc>
          <w:tcPr>
            <w:tcW w:w="918" w:type="dxa"/>
          </w:tcPr>
          <w:p w:rsidR="00905089" w:rsidRDefault="00905089" w:rsidP="00AF2F06">
            <w:pPr>
              <w:pStyle w:val="CellColumn"/>
            </w:pPr>
            <w:r>
              <w:rPr>
                <w:rFonts w:cs="Times New Roman"/>
              </w:rPr>
              <w:t>50</w:t>
            </w:r>
          </w:p>
        </w:tc>
      </w:tr>
      <w:tr w:rsidR="00905089" w:rsidTr="00AF2F06">
        <w:trPr>
          <w:jc w:val="center"/>
        </w:trPr>
        <w:tc>
          <w:tcPr>
            <w:tcW w:w="2245" w:type="dxa"/>
          </w:tcPr>
          <w:p w:rsidR="00905089" w:rsidRDefault="00905089" w:rsidP="00AF2F06">
            <w:pPr>
              <w:pStyle w:val="CellColumn"/>
            </w:pPr>
            <w:r>
              <w:rPr>
                <w:rFonts w:cs="Times New Roman"/>
              </w:rPr>
              <w:t>Broj vrednovanih standarada kvalifikacija</w:t>
            </w:r>
          </w:p>
        </w:tc>
        <w:tc>
          <w:tcPr>
            <w:tcW w:w="2245" w:type="dxa"/>
          </w:tcPr>
          <w:p w:rsidR="00905089" w:rsidRDefault="00905089" w:rsidP="00AF2F06">
            <w:pPr>
              <w:pStyle w:val="CellColumn"/>
            </w:pPr>
            <w:r>
              <w:rPr>
                <w:rFonts w:cs="Times New Roman"/>
              </w:rPr>
              <w:t>AZVO vrednuje standarde kvalifikacija u visokom obrazovanju</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Upisani standardi kvalifikacija u Registru HKO-a, AZVO godišnje izvješće</w:t>
            </w:r>
          </w:p>
        </w:tc>
        <w:tc>
          <w:tcPr>
            <w:tcW w:w="918" w:type="dxa"/>
          </w:tcPr>
          <w:p w:rsidR="00905089" w:rsidRDefault="00905089" w:rsidP="00AF2F06">
            <w:pPr>
              <w:pStyle w:val="CellColumn"/>
            </w:pPr>
            <w:r>
              <w:rPr>
                <w:rFonts w:cs="Times New Roman"/>
              </w:rPr>
              <w:t>50</w:t>
            </w:r>
          </w:p>
        </w:tc>
        <w:tc>
          <w:tcPr>
            <w:tcW w:w="918" w:type="dxa"/>
          </w:tcPr>
          <w:p w:rsidR="00905089" w:rsidRDefault="00905089" w:rsidP="00AF2F06">
            <w:pPr>
              <w:pStyle w:val="CellColumn"/>
            </w:pPr>
            <w:r>
              <w:rPr>
                <w:rFonts w:cs="Times New Roman"/>
              </w:rPr>
              <w:t>50</w:t>
            </w:r>
          </w:p>
        </w:tc>
        <w:tc>
          <w:tcPr>
            <w:tcW w:w="918" w:type="dxa"/>
          </w:tcPr>
          <w:p w:rsidR="00905089" w:rsidRDefault="00905089" w:rsidP="00AF2F06">
            <w:pPr>
              <w:pStyle w:val="CellColumn"/>
            </w:pPr>
            <w:r>
              <w:rPr>
                <w:rFonts w:cs="Times New Roman"/>
              </w:rPr>
              <w:t>50</w:t>
            </w:r>
          </w:p>
        </w:tc>
      </w:tr>
    </w:tbl>
    <w:p w:rsidR="00905089" w:rsidRDefault="00905089" w:rsidP="00905089">
      <w:pPr>
        <w:jc w:val="left"/>
      </w:pPr>
    </w:p>
    <w:p w:rsidR="00905089" w:rsidRDefault="00905089" w:rsidP="00905089">
      <w:pPr>
        <w:pStyle w:val="Heading4"/>
      </w:pPr>
      <w:r>
        <w:t>A867019 DIGITALNA PREOBRAZBA VISOKOG OBRAZOVANJA – e-SVEUČILIŠTA - NPOO (C3.1.R2)</w:t>
      </w:r>
    </w:p>
    <w:p w:rsidR="00905089" w:rsidRDefault="00905089" w:rsidP="00905089">
      <w:pPr>
        <w:pStyle w:val="Heading8"/>
        <w:jc w:val="left"/>
      </w:pPr>
      <w:r>
        <w:t>Zakonske i druge pravne osnove</w:t>
      </w:r>
    </w:p>
    <w:p w:rsidR="00905089" w:rsidRDefault="00905089" w:rsidP="00905089">
      <w:pPr>
        <w:pStyle w:val="Normal5"/>
      </w:pPr>
      <w:r>
        <w:t>Nacionalni plan oporavka i otpornosti RH 2021. – 2026., Zakon o osiguravanju kvalitete u visokom obrazovanju i znanosti</w:t>
      </w:r>
    </w:p>
    <w:tbl>
      <w:tblPr>
        <w:tblStyle w:val="StilTablice"/>
        <w:tblW w:w="10206" w:type="dxa"/>
        <w:jc w:val="center"/>
        <w:tblLook w:val="04A0" w:firstRow="1" w:lastRow="0" w:firstColumn="1" w:lastColumn="0" w:noHBand="0" w:noVBand="1"/>
      </w:tblPr>
      <w:tblGrid>
        <w:gridCol w:w="1592"/>
        <w:gridCol w:w="1547"/>
        <w:gridCol w:w="1538"/>
        <w:gridCol w:w="1527"/>
        <w:gridCol w:w="1516"/>
        <w:gridCol w:w="1516"/>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A867019-DIGITALNA PREOBRAZBA VISOKOG OBRAZOVANJA – e-SVEUČILIŠTA - NPOO (C3.1.R2)</w:t>
            </w:r>
          </w:p>
        </w:tc>
        <w:tc>
          <w:tcPr>
            <w:tcW w:w="1632" w:type="dxa"/>
          </w:tcPr>
          <w:p w:rsidR="00905089" w:rsidRDefault="00905089" w:rsidP="00AF2F06">
            <w:pPr>
              <w:pStyle w:val="CellColumn"/>
            </w:pPr>
            <w:r>
              <w:rPr>
                <w:rFonts w:cs="Times New Roman"/>
              </w:rPr>
              <w:t>67.305</w:t>
            </w:r>
          </w:p>
        </w:tc>
        <w:tc>
          <w:tcPr>
            <w:tcW w:w="1632" w:type="dxa"/>
          </w:tcPr>
          <w:p w:rsidR="00905089" w:rsidRDefault="00905089" w:rsidP="00AF2F06">
            <w:pPr>
              <w:pStyle w:val="CellColumn"/>
            </w:pPr>
            <w:r>
              <w:rPr>
                <w:rFonts w:cs="Times New Roman"/>
              </w:rPr>
              <w:t>219.600</w:t>
            </w:r>
          </w:p>
        </w:tc>
        <w:tc>
          <w:tcPr>
            <w:tcW w:w="1632" w:type="dxa"/>
          </w:tcPr>
          <w:p w:rsidR="00905089" w:rsidRDefault="00905089" w:rsidP="00AF2F06">
            <w:pPr>
              <w:pStyle w:val="CellColumn"/>
            </w:pPr>
            <w:r>
              <w:rPr>
                <w:rFonts w:cs="Times New Roman"/>
              </w:rPr>
              <w:t>87.000</w:t>
            </w:r>
          </w:p>
        </w:tc>
        <w:tc>
          <w:tcPr>
            <w:tcW w:w="1632" w:type="dxa"/>
          </w:tcPr>
          <w:p w:rsidR="00905089" w:rsidRDefault="00905089" w:rsidP="00AF2F06">
            <w:pPr>
              <w:pStyle w:val="CellColumn"/>
            </w:pPr>
            <w:r>
              <w:rPr>
                <w:rFonts w:cs="Times New Roman"/>
              </w:rPr>
              <w:t>00</w:t>
            </w:r>
          </w:p>
        </w:tc>
        <w:tc>
          <w:tcPr>
            <w:tcW w:w="1632" w:type="dxa"/>
          </w:tcPr>
          <w:p w:rsidR="00905089" w:rsidRDefault="00905089" w:rsidP="00AF2F06">
            <w:pPr>
              <w:pStyle w:val="CellColumn"/>
            </w:pPr>
            <w:r>
              <w:rPr>
                <w:rFonts w:cs="Times New Roman"/>
              </w:rPr>
              <w:t>00</w:t>
            </w:r>
          </w:p>
        </w:tc>
        <w:tc>
          <w:tcPr>
            <w:tcW w:w="510" w:type="dxa"/>
          </w:tcPr>
          <w:p w:rsidR="00905089" w:rsidRDefault="00905089" w:rsidP="00AF2F06">
            <w:pPr>
              <w:pStyle w:val="CellColumn"/>
            </w:pPr>
            <w:r>
              <w:rPr>
                <w:rFonts w:cs="Times New Roman"/>
              </w:rPr>
              <w:t>39,6</w:t>
            </w:r>
          </w:p>
        </w:tc>
      </w:tr>
    </w:tbl>
    <w:p w:rsidR="00905089" w:rsidRDefault="00905089" w:rsidP="00905089">
      <w:pPr>
        <w:jc w:val="left"/>
      </w:pPr>
    </w:p>
    <w:p w:rsidR="00905089" w:rsidRDefault="00905089" w:rsidP="00905089">
      <w:r>
        <w:t xml:space="preserve">Posebni ciljevi projekta su: unaprjeđenje infrastrukture i repozitorija digitalnih sadržaja, izrada servisa poput aplikacija i alata podrške, obrazovanje korisnika (predstavnika visokih učilišta) te provedba vrednovanja digitalne zrelosti visokih učilišta.    </w:t>
      </w:r>
    </w:p>
    <w:p w:rsidR="00905089" w:rsidRDefault="00905089" w:rsidP="00905089">
      <w:r>
        <w:t xml:space="preserve">Nositelj projekta je Hrvatska akademska i istraživačka mreža – CARNET, a partneri Sveučilišni računski centar SRCE, Nacionalna i sveučilišna knjižnica i AZVO.    </w:t>
      </w:r>
    </w:p>
    <w:p w:rsidR="00905089" w:rsidRDefault="00905089" w:rsidP="00905089">
      <w:r>
        <w:t xml:space="preserve">Projekt traje od ožujka 2022. do kraja prosinaca 2025.   </w:t>
      </w:r>
    </w:p>
    <w:p w:rsidR="00905089" w:rsidRDefault="00905089" w:rsidP="00905089">
      <w:r>
        <w:t xml:space="preserve">U okviru projekta, AZVO je zadužen za provedbu vrednovanja digitalne zrelosti na 10 % visokih učilišta uključenih u projekt za što je planirano 88.181 euro u posljednjoj godini provedbe projekta. Fizički posjeti stručnih povjerenstava će se odvoijati do kraja 2025. Troškovi rada stručnih povjerenstava uključuju troškove smještaja, puta za članove stručnih povjerenstava i koordinatore na postupku. Članovi stručnih povjerenstava rade za svako visoko učilište završno izvješće za što će biti isplaćene naknade. Okvirni trošak smještaja i putovanja jednog postupka vrednovanja digitalne zrelosti visokog učilišta je  5.000,00 eura. Troškovi naknada za članove stručnih povjerenstava su okvirno 15.000,00. S obzirom na to da će se postupci vrednovanja odvijati tijekom studenoga i prosinca 2025. godine, a dio </w:t>
      </w:r>
      <w:r>
        <w:lastRenderedPageBreak/>
        <w:t>troškova dospjet će početkom 2026. godine, navedena je aktivnost uvrštena u plan proračuna za 2026. godinu.</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13"/>
        <w:gridCol w:w="1914"/>
        <w:gridCol w:w="1817"/>
        <w:gridCol w:w="917"/>
        <w:gridCol w:w="894"/>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provedenih vrednovanja digitalne zrelosti visokih učilišta</w:t>
            </w:r>
          </w:p>
        </w:tc>
        <w:tc>
          <w:tcPr>
            <w:tcW w:w="2245" w:type="dxa"/>
          </w:tcPr>
          <w:p w:rsidR="00905089" w:rsidRDefault="00905089" w:rsidP="00AF2F06">
            <w:pPr>
              <w:pStyle w:val="CellColumn"/>
            </w:pPr>
            <w:r>
              <w:rPr>
                <w:rFonts w:cs="Times New Roman"/>
              </w:rPr>
              <w:t>Broj provedenih vrednovanja digitalne zrelosti visokih učilišta</w:t>
            </w:r>
          </w:p>
        </w:tc>
        <w:tc>
          <w:tcPr>
            <w:tcW w:w="918" w:type="dxa"/>
          </w:tcPr>
          <w:p w:rsidR="00905089" w:rsidRDefault="00905089" w:rsidP="00AF2F06">
            <w:pPr>
              <w:pStyle w:val="CellColumn"/>
            </w:pPr>
            <w:r>
              <w:rPr>
                <w:rFonts w:cs="Times New Roman"/>
              </w:rPr>
              <w:t>%</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0</w:t>
            </w:r>
          </w:p>
        </w:tc>
      </w:tr>
    </w:tbl>
    <w:p w:rsidR="00905089" w:rsidRDefault="00905089" w:rsidP="00905089">
      <w:pPr>
        <w:jc w:val="left"/>
      </w:pPr>
    </w:p>
    <w:p w:rsidR="00905089" w:rsidRDefault="00905089" w:rsidP="00905089">
      <w:pPr>
        <w:pStyle w:val="Heading4"/>
      </w:pPr>
      <w:r>
        <w:t>A867021 ERASMUS PLUS - PROJEKTI</w:t>
      </w:r>
    </w:p>
    <w:p w:rsidR="00905089" w:rsidRDefault="00905089" w:rsidP="00905089">
      <w:pPr>
        <w:pStyle w:val="Heading8"/>
        <w:jc w:val="left"/>
      </w:pPr>
      <w:r>
        <w:t>Zakonske i druge pravne osnove</w:t>
      </w:r>
    </w:p>
    <w:p w:rsidR="00905089" w:rsidRDefault="00905089" w:rsidP="00905089">
      <w:pPr>
        <w:pStyle w:val="Normal5"/>
      </w:pPr>
      <w:r>
        <w:t xml:space="preserve">Zakon o osiguravanju kvalitete u visokom obrazovanju i znanosti </w:t>
      </w:r>
    </w:p>
    <w:p w:rsidR="00905089" w:rsidRDefault="00905089" w:rsidP="00905089">
      <w:pPr>
        <w:pStyle w:val="Normal5"/>
      </w:pPr>
      <w:r>
        <w:t xml:space="preserve">ERASMUS+ program Europske unije u kojem RH ravnopravno sudjeluje kao članica EU-a. Broj ugovora: 101228656 - ARAQUA 2 - Road to Automatic Recognition of Higher Education Access Qualifications 2 - Call: ERASMUS-EDU-2024-EHEA-NARIC  </w:t>
      </w:r>
    </w:p>
    <w:p w:rsidR="00905089" w:rsidRDefault="00905089" w:rsidP="00905089">
      <w:pPr>
        <w:pStyle w:val="Normal5"/>
      </w:pPr>
      <w:r>
        <w:t xml:space="preserve">ERASMUS+ program Europske unije u kojem RH ravnopravno sudjeluje kao članica EU-a. Broj ugovora: 10122875 - Verif-AI- Supporting verification of authenticity through AI technologies - Call: ERASMUS-EDU-2024-EHEA-NARIC  </w:t>
      </w:r>
    </w:p>
    <w:p w:rsidR="00905089" w:rsidRDefault="00905089" w:rsidP="00905089">
      <w:pPr>
        <w:pStyle w:val="Normal5"/>
      </w:pPr>
      <w:r>
        <w:t xml:space="preserve">ERASMUS+ program Europske unije u kojem RH ravnopravno sudjeluje kao članica EU-a. Broj ugovora: 101228816 – AR2030 - Automatic Recognition in the EEA 2030 - Call: ERASMUS-EDU-2024-EHEA-NARIC </w:t>
      </w:r>
    </w:p>
    <w:p w:rsidR="00905089" w:rsidRDefault="00905089" w:rsidP="00905089">
      <w:pPr>
        <w:pStyle w:val="Normal5"/>
      </w:pPr>
      <w:r>
        <w:t xml:space="preserve">ERASMUS+ program Europske unije u kojem RH ravnopravno sudjeluje kao članica EU-a. Broj ugovora: 101101663 – MAReN – ERASMUS-EDU-2022-NARIC-IBA   </w:t>
      </w:r>
    </w:p>
    <w:p w:rsidR="00905089" w:rsidRDefault="00905089" w:rsidP="00905089">
      <w:pPr>
        <w:pStyle w:val="Normal5"/>
      </w:pPr>
      <w:r>
        <w:t xml:space="preserve">ERASMUS+ program Europske unije u kojem RH ravnopravno sudjeluje kao članica EU-a. Broj ugovora: 101101701 – ERASMUS-EDU-2022-NARIC-IBA  </w:t>
      </w:r>
    </w:p>
    <w:p w:rsidR="00905089" w:rsidRDefault="00905089" w:rsidP="00905089">
      <w:pPr>
        <w:pStyle w:val="Normal5"/>
      </w:pPr>
      <w:r>
        <w:t>ERASMUS-EDU-2023-CBHE; br. Ugovora: Grant Agreement br. 101128889</w:t>
      </w:r>
    </w:p>
    <w:tbl>
      <w:tblPr>
        <w:tblStyle w:val="StilTablice"/>
        <w:tblW w:w="10206" w:type="dxa"/>
        <w:jc w:val="center"/>
        <w:tblLook w:val="04A0" w:firstRow="1" w:lastRow="0" w:firstColumn="1" w:lastColumn="0" w:noHBand="0" w:noVBand="1"/>
      </w:tblPr>
      <w:tblGrid>
        <w:gridCol w:w="1489"/>
        <w:gridCol w:w="1563"/>
        <w:gridCol w:w="1546"/>
        <w:gridCol w:w="1546"/>
        <w:gridCol w:w="1546"/>
        <w:gridCol w:w="1546"/>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A867021-ERASMUS PLUS - PROJEKTI</w:t>
            </w:r>
          </w:p>
        </w:tc>
        <w:tc>
          <w:tcPr>
            <w:tcW w:w="1632" w:type="dxa"/>
          </w:tcPr>
          <w:p w:rsidR="00905089" w:rsidRDefault="00905089" w:rsidP="00AF2F06">
            <w:pPr>
              <w:pStyle w:val="CellColumn"/>
            </w:pPr>
            <w:r>
              <w:rPr>
                <w:rFonts w:cs="Times New Roman"/>
              </w:rPr>
              <w:t>9.949</w:t>
            </w:r>
          </w:p>
        </w:tc>
        <w:tc>
          <w:tcPr>
            <w:tcW w:w="1632" w:type="dxa"/>
          </w:tcPr>
          <w:p w:rsidR="00905089" w:rsidRDefault="00905089" w:rsidP="00AF2F06">
            <w:pPr>
              <w:pStyle w:val="CellColumn"/>
            </w:pPr>
            <w:r>
              <w:rPr>
                <w:rFonts w:cs="Times New Roman"/>
              </w:rPr>
              <w:t>48.460</w:t>
            </w:r>
          </w:p>
        </w:tc>
        <w:tc>
          <w:tcPr>
            <w:tcW w:w="1632" w:type="dxa"/>
          </w:tcPr>
          <w:p w:rsidR="00905089" w:rsidRDefault="00905089" w:rsidP="00AF2F06">
            <w:pPr>
              <w:pStyle w:val="CellColumn"/>
            </w:pPr>
            <w:r>
              <w:rPr>
                <w:rFonts w:cs="Times New Roman"/>
              </w:rPr>
              <w:t>22.930</w:t>
            </w:r>
          </w:p>
        </w:tc>
        <w:tc>
          <w:tcPr>
            <w:tcW w:w="1632" w:type="dxa"/>
          </w:tcPr>
          <w:p w:rsidR="00905089" w:rsidRDefault="00905089" w:rsidP="00AF2F06">
            <w:pPr>
              <w:pStyle w:val="CellColumn"/>
            </w:pPr>
            <w:r>
              <w:rPr>
                <w:rFonts w:cs="Times New Roman"/>
              </w:rPr>
              <w:t>22.150</w:t>
            </w:r>
          </w:p>
        </w:tc>
        <w:tc>
          <w:tcPr>
            <w:tcW w:w="1632" w:type="dxa"/>
          </w:tcPr>
          <w:p w:rsidR="00905089" w:rsidRDefault="00905089" w:rsidP="00AF2F06">
            <w:pPr>
              <w:pStyle w:val="CellColumn"/>
            </w:pPr>
            <w:r>
              <w:rPr>
                <w:rFonts w:cs="Times New Roman"/>
              </w:rPr>
              <w:t>19.900</w:t>
            </w:r>
          </w:p>
        </w:tc>
        <w:tc>
          <w:tcPr>
            <w:tcW w:w="510" w:type="dxa"/>
          </w:tcPr>
          <w:p w:rsidR="00905089" w:rsidRDefault="00905089" w:rsidP="00AF2F06">
            <w:pPr>
              <w:pStyle w:val="CellColumn"/>
            </w:pPr>
            <w:r>
              <w:rPr>
                <w:rFonts w:cs="Times New Roman"/>
              </w:rPr>
              <w:t>47,3</w:t>
            </w:r>
          </w:p>
        </w:tc>
      </w:tr>
    </w:tbl>
    <w:p w:rsidR="00905089" w:rsidRDefault="00905089" w:rsidP="00905089">
      <w:pPr>
        <w:jc w:val="left"/>
      </w:pPr>
    </w:p>
    <w:p w:rsidR="00905089" w:rsidRDefault="00905089" w:rsidP="00905089">
      <w:r>
        <w:t xml:space="preserve">Road to Automatic Recognition of Higher Education Access Qualifications 2 (ARAQUA2):  Cilj projekta Put prema automatskom priznavanju kvalifikacija za pristup visokom obrazovanju 2 (ARAQUA 2) je proširiti istraživanje kvalifikacija za pristup visokom obrazovanju u partnerskim zemljama projekta kako bi se te kvalifikacije mapirale u svrhu automatskog priznavanja razina kvalifikacija te kako bi se proširila upotreba preporuka o automatskom priznavanju razvijenih u prethodnom projektu ARAQUA, kao i drugih alata namijenjenih podršci praktičnoj provedbi automatskog priznavanja inozemnih kvalifikacija za pristup visokom obrazovanju. U kontekstu projekta, kvalifikacije za pristup visokom obrazovanju uključuju i opće i strukovne (VET) srednjoškolske kvalifikacije koje svojim nositeljima osiguravaju pravo pristupa visokom obrazovanju. </w:t>
      </w:r>
    </w:p>
    <w:p w:rsidR="00905089" w:rsidRDefault="00905089" w:rsidP="00905089">
      <w:r>
        <w:t xml:space="preserve"> </w:t>
      </w:r>
    </w:p>
    <w:p w:rsidR="00905089" w:rsidRDefault="00905089" w:rsidP="00905089">
      <w:r>
        <w:lastRenderedPageBreak/>
        <w:t xml:space="preserve">Supporting verification of authenticity through AI technologies (Verif-AI)  - Opći cilje projekta “Podrška provjeri vjerodostojnosti putem AI tehnologije (umjetne inteligencije)” je podrška provjeri vjerodostojnosti dokumentacije u postupku vrednovanja inozemnih obrazovnih kvalifikacija putem umjetne inteligencije u , a u cilju pružanja podrške provedbi automatskog priznavanja razina inozemnih kvalifikacija kako bi se odgovorilo na nedostatke identificirane u izvješću Europske komisije Vijeću o provedbi Preporuke Vijeća iz 2018. o automatskom priznavanju. Projekt će istražiti implikacije moguće uporabe umjetne inteligencije (AI) u postupku priznavanja kroz izradu bijele knjige koja će sadržavati preporuke i smjernice. </w:t>
      </w:r>
    </w:p>
    <w:p w:rsidR="00905089" w:rsidRDefault="00905089" w:rsidP="00905089">
      <w:r>
        <w:t xml:space="preserve"> </w:t>
      </w:r>
    </w:p>
    <w:p w:rsidR="00905089" w:rsidRDefault="00905089" w:rsidP="00905089">
      <w:r>
        <w:t xml:space="preserve">Automatic Recognition in the EEA, 2030 (AR2030) – Opći cilj projekta “Automatsko priznavanje u EEA” je rješavanje ključnih nedostataka kako bi se postiglo automatsko priznavanje unutar Europskog gospodarskog prostora, u skladu s Preporukom Vijeća iz 2018. Godine. Specifični ciljevi su: ojačati institucionalne prakse priznavanja kroz kontinuiranu primjenu alata Spotlight i mreža nacionalnih ureda za upise u Europi; promicati zajedničko razumijevanje i provedbu automatskog priznavanja putem tablice kvalifikacija Europskog prostora visokog obrazovanja (EHEA);učinkovitije uskladiti prakse priznavanja unutar EGP-a prevođenjem priručnika EAR-HEI;omogućiti fleksibilne obrazovne putove u visokom obrazovanju nadogradnjom alata za vrednovanje mikrokvalifikacija; poticati razmjenu znanja među ENIC-NARIC centrima kako bi se osiguralo učinkovito, održivo i kvalitetno priznavanje unutar EGP-a;doprinijeti globalnim praksama priznavanja kroz zbirku primjera dobre prakse za nacionalne informacijske centre, uz podršku UNESCO-ve Globalne konvencije i regionalnih konvencija (npr. Lisabonske konvencije - LRC). </w:t>
      </w:r>
    </w:p>
    <w:p w:rsidR="00905089" w:rsidRDefault="00905089" w:rsidP="00905089">
      <w:r>
        <w:t xml:space="preserve"> </w:t>
      </w:r>
    </w:p>
    <w:p w:rsidR="00905089" w:rsidRDefault="00905089" w:rsidP="00905089">
      <w:r>
        <w:t xml:space="preserve">Glavni cilj projekta MAReN: Mediterranean Automatic Recognition Network je podržati i potaknuti postizanje ciljeva Europskog obrazovnog prostora, posebice provedbu Preporuke Vijeća Europske unije o promicanju automatskog priznavanja visokoškolskih i srednjoškolskih kvalifikacija te ishoda razdoblja učenja provedenog u inozemstvu. Opseg projekta MAReN uključuje poticanje automatskog priznavanja u mediteranskoj regiji, počevši od zemalja partnera projekta, stvaranjem mreže ENIC i NARIC centara koji rade na automatskom priznavanju u mediteranskoj regiji; razvoj alata za podršku svakodnevnom radu ocjenjivača mikro-vjerodajnica; uspostavljanje sinergije s drugim inicijativama vezanim uz automatsko prepoznavanje u drugim regijama, osobito onim razvijenim u Adriatic regiji u okviru ERASMUS+ projekta AdReN.   </w:t>
      </w:r>
    </w:p>
    <w:p w:rsidR="00905089" w:rsidRDefault="00905089" w:rsidP="00905089">
      <w:r>
        <w:t xml:space="preserve">Za potrebe koordinacije aktivnosti MAReN-a, bit će na Sveučilištu Federico II u Napulju uspostavljeno tajništvo čijim će se radom jamčiti održivost Mreže i nakon trajanja projekta. Svi rezultati projekta bit će dostupni na internetskoj stranici MAReN-a koja će biti alat dostupan svim relevantnim dionicima.   </w:t>
      </w:r>
    </w:p>
    <w:p w:rsidR="00905089" w:rsidRDefault="00905089" w:rsidP="00905089">
      <w:r>
        <w:t xml:space="preserve">Očekivani učinak koji se želi ostvariti projektom je uspostava automatskog priznavanja kvalifikacija među zemljama mediteranske regije kroz razvoj alata, poput usporedne tablice, koji su namijenjeni visokim učilištima i drugim dionicima. Drugi važan aspekt ovog projekta je jačanje suradnje među NARIC centrima mediteranske regije te, zahvaljujući njihovom angažmanu, i među ministarstvima nadležnim za visoko obrazovanje partnerskih zemalja, što će biti olakšano uspostavom tajništva Mreže.   </w:t>
      </w:r>
    </w:p>
    <w:p w:rsidR="00905089" w:rsidRDefault="00905089" w:rsidP="00905089">
      <w:r>
        <w:t xml:space="preserve"> </w:t>
      </w:r>
    </w:p>
    <w:p w:rsidR="00905089" w:rsidRDefault="00905089" w:rsidP="00905089">
      <w:r>
        <w:t xml:space="preserve">  </w:t>
      </w:r>
    </w:p>
    <w:p w:rsidR="00905089" w:rsidRDefault="00905089" w:rsidP="00905089">
      <w:r>
        <w:t xml:space="preserve">Projekt pod nazivom Automatic Recognition in the EEA, 2025 (AR25) – Automatsko priznavanje u Europskom gospodarskom prostoru, 2025. (AR25), financiran sredstvima ERASMUS+ programa Europske unije ima za cilj podržati provedbu Preporuke Vijeća Europske unije o automatskom priznavanju i osigurati automatsko priznavanje razina inozemnih kvalifikacija do 2025. godine i to usklađivanjem institucionalnih postupaka priznavanja s načelima Lisabonske konvencije o uzajamnom priznavanju (LRC), zatim promicanjem Spotlight alata za samovrednovanje i pružanjem podrške budućem radu na priznavanju razdoblja studija u višem srednjem obrazovanju putem mapiranja nacionalnih praksi u priznavanju. Također, cilj projekta je identificirati izazove i područja za poboljšanje te raditi na izgradnji kapaciteta na visokim učilištima nužnih za provedbu vrednovanja mikro-vjerodajnica (microcredentials), uključujući automatsko prepoznavanje, kao i ažuriranje postojeće </w:t>
      </w:r>
      <w:r>
        <w:lastRenderedPageBreak/>
        <w:t xml:space="preserve">STACQ aplikacije i EAR – HEI priručnika, a kako bise racionalizirala praksa vrednovanja/prepoznavanja.   </w:t>
      </w:r>
    </w:p>
    <w:p w:rsidR="00905089" w:rsidRDefault="00905089" w:rsidP="00905089">
      <w:r>
        <w:t xml:space="preserve">Ciljne skupine su: visoka učilišta, ENIC i NARIC centri, dionici u priznavanje na području Europskog prostora visokog obrazovanja (EHEA) i EEA (agencije za osiguravanje kvalitete, rektorske konferencije itd.), dionici koji se bave poticanjem akademske i radne mobilnosti u višem srednjoškolskom obrazovanju obrazovanje.   </w:t>
      </w:r>
    </w:p>
    <w:p w:rsidR="00905089" w:rsidRDefault="00905089" w:rsidP="00905089">
      <w:r>
        <w:t xml:space="preserve"> </w:t>
      </w:r>
    </w:p>
    <w:p w:rsidR="00905089" w:rsidRDefault="00905089" w:rsidP="00905089">
      <w:r>
        <w:t xml:space="preserve">Projekt pod nazivom Jačanje kapaciteta i mehanizama za unapređenje sustava osiguravanja kvalitete visokog obrazovanja u Bosni i Hercegovini (Strengthening Capacities and Mechanisms for Enhancement  of Quality Assurance System in Higher Education in Bosnia and Herzegovina“ (SMEQA)) financiran je sredstvima ERASMUS+ programa Europske unije.   </w:t>
      </w:r>
    </w:p>
    <w:p w:rsidR="00905089" w:rsidRDefault="00905089" w:rsidP="00905089">
      <w:r>
        <w:t xml:space="preserve">Opći cilj: unapređenje sustava osiguravanja kvalitete visokog obrazovanja u BiH.  </w:t>
      </w:r>
    </w:p>
    <w:p w:rsidR="00905089" w:rsidRDefault="00905089" w:rsidP="00905089">
      <w:r>
        <w:t>Specifičan cilj: uspostava mehanizama (procesa, dokumentacije, standarda, kriterija i sl.) i jačanje kapaciteta za unapređenje sustava osiguravanja kvalitete visokog obrazovanja u BiH.</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823"/>
        <w:gridCol w:w="1924"/>
        <w:gridCol w:w="1681"/>
        <w:gridCol w:w="916"/>
        <w:gridCol w:w="1114"/>
        <w:gridCol w:w="916"/>
        <w:gridCol w:w="916"/>
        <w:gridCol w:w="916"/>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Dokument o mapiranju izrađen u projektu ARAQUA2</w:t>
            </w:r>
          </w:p>
        </w:tc>
        <w:tc>
          <w:tcPr>
            <w:tcW w:w="2245" w:type="dxa"/>
          </w:tcPr>
          <w:p w:rsidR="00905089" w:rsidRDefault="00905089" w:rsidP="00AF2F06">
            <w:pPr>
              <w:pStyle w:val="CellColumn"/>
            </w:pPr>
            <w:r>
              <w:rPr>
                <w:rFonts w:cs="Times New Roman"/>
              </w:rPr>
              <w:t>Mapiranje kvalifikacija za pristup visokom obrazovanju u partnerskim zemljama projekta</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AIC (kordinator projekta) i AZVO</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0</w:t>
            </w:r>
          </w:p>
        </w:tc>
      </w:tr>
      <w:tr w:rsidR="00905089" w:rsidTr="00AF2F06">
        <w:trPr>
          <w:jc w:val="center"/>
        </w:trPr>
        <w:tc>
          <w:tcPr>
            <w:tcW w:w="2245" w:type="dxa"/>
          </w:tcPr>
          <w:p w:rsidR="00905089" w:rsidRDefault="00905089" w:rsidP="00AF2F06">
            <w:pPr>
              <w:pStyle w:val="CellColumn"/>
            </w:pPr>
            <w:r>
              <w:rPr>
                <w:rFonts w:cs="Times New Roman"/>
              </w:rPr>
              <w:t>Bijela knjiga koja će sadržavati preporuke i smjernice te internetska stranica Verif-AI projekta</w:t>
            </w:r>
          </w:p>
        </w:tc>
        <w:tc>
          <w:tcPr>
            <w:tcW w:w="2245" w:type="dxa"/>
          </w:tcPr>
          <w:p w:rsidR="00905089" w:rsidRDefault="00905089" w:rsidP="00AF2F06">
            <w:pPr>
              <w:pStyle w:val="CellColumn"/>
            </w:pPr>
            <w:r>
              <w:rPr>
                <w:rFonts w:cs="Times New Roman"/>
              </w:rPr>
              <w:t>Podrška provjeri vjerodostojnosti inozemnih kvalifikacija putem umjetne inteligencije u cilju pružanja podrške provedbi automatskog priznavanja razina inozemnih kvalifikacija.</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CIMEA (koordinator projekta) i AZVO</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0</w:t>
            </w:r>
          </w:p>
        </w:tc>
      </w:tr>
      <w:tr w:rsidR="00905089" w:rsidTr="00AF2F06">
        <w:trPr>
          <w:jc w:val="center"/>
        </w:trPr>
        <w:tc>
          <w:tcPr>
            <w:tcW w:w="2245" w:type="dxa"/>
          </w:tcPr>
          <w:p w:rsidR="00905089" w:rsidRDefault="00905089" w:rsidP="00AF2F06">
            <w:pPr>
              <w:pStyle w:val="CellColumn"/>
            </w:pPr>
            <w:r>
              <w:rPr>
                <w:rFonts w:cs="Times New Roman"/>
              </w:rPr>
              <w:t>Dokument i digitalni alat za poticanje automatskog priznavanja razina kvalifikacija</w:t>
            </w:r>
          </w:p>
        </w:tc>
        <w:tc>
          <w:tcPr>
            <w:tcW w:w="2245" w:type="dxa"/>
          </w:tcPr>
          <w:p w:rsidR="00905089" w:rsidRDefault="00905089" w:rsidP="00AF2F06">
            <w:pPr>
              <w:pStyle w:val="CellColumn"/>
            </w:pPr>
            <w:r>
              <w:rPr>
                <w:rFonts w:cs="Times New Roman"/>
              </w:rPr>
              <w:t>Rješavanje ključnih nedostataka kako bi se postiglo automatsko priznavanje unutar Europskog gospodarskog prostora, u skladu s Preporukom Vijeća iz 2018. godine</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NUFFIC (koordinator projekta) i AZVO</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0</w:t>
            </w:r>
          </w:p>
        </w:tc>
      </w:tr>
    </w:tbl>
    <w:p w:rsidR="00905089" w:rsidRDefault="00905089" w:rsidP="00905089">
      <w:pPr>
        <w:jc w:val="left"/>
      </w:pPr>
    </w:p>
    <w:p w:rsidR="00905089" w:rsidRDefault="00905089" w:rsidP="00905089">
      <w:pPr>
        <w:pStyle w:val="Heading4"/>
      </w:pPr>
      <w:r>
        <w:lastRenderedPageBreak/>
        <w:t>A867023 USPOSTAVA SREDIŠNJEG SUSTAVA INTEROPERABILNOSTI - NPOO (C2.3.R2-I1)</w:t>
      </w:r>
    </w:p>
    <w:p w:rsidR="00905089" w:rsidRDefault="00905089" w:rsidP="00905089">
      <w:pPr>
        <w:pStyle w:val="Heading8"/>
        <w:jc w:val="left"/>
      </w:pPr>
      <w:r>
        <w:t>Zakonske i druge pravne osnove</w:t>
      </w:r>
    </w:p>
    <w:p w:rsidR="00905089" w:rsidRDefault="00905089" w:rsidP="00905089">
      <w:pPr>
        <w:pStyle w:val="Normal5"/>
      </w:pPr>
      <w:r>
        <w:t>Uredba (EU) 2018/1724 Europskog parlamenta i Vijeća od 2. listopada 2018. o uspostavi jedinstvenog digitalnog pristupnika za pristup informacijama, postupcima, uslugama podrške i rješavanja problema</w:t>
      </w:r>
    </w:p>
    <w:tbl>
      <w:tblPr>
        <w:tblStyle w:val="StilTablice"/>
        <w:tblW w:w="10206" w:type="dxa"/>
        <w:jc w:val="center"/>
        <w:tblLook w:val="04A0" w:firstRow="1" w:lastRow="0" w:firstColumn="1" w:lastColumn="0" w:noHBand="0" w:noVBand="1"/>
      </w:tblPr>
      <w:tblGrid>
        <w:gridCol w:w="2270"/>
        <w:gridCol w:w="1442"/>
        <w:gridCol w:w="1375"/>
        <w:gridCol w:w="1399"/>
        <w:gridCol w:w="1375"/>
        <w:gridCol w:w="1375"/>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A867023-USPOSTAVA SREDIŠNJEG SUSTAVA INTEROPERABILNOSTI - NPOO (C2.3.R2-I1)</w:t>
            </w:r>
          </w:p>
        </w:tc>
        <w:tc>
          <w:tcPr>
            <w:tcW w:w="1632" w:type="dxa"/>
          </w:tcPr>
          <w:p w:rsidR="00905089" w:rsidRDefault="00905089" w:rsidP="00AF2F06">
            <w:pPr>
              <w:pStyle w:val="CellColumn"/>
            </w:pPr>
            <w:r>
              <w:rPr>
                <w:rFonts w:cs="Times New Roman"/>
              </w:rPr>
              <w:t>24.750</w:t>
            </w:r>
          </w:p>
        </w:tc>
        <w:tc>
          <w:tcPr>
            <w:tcW w:w="1632" w:type="dxa"/>
          </w:tcPr>
          <w:p w:rsidR="00905089" w:rsidRDefault="00905089" w:rsidP="00AF2F06">
            <w:pPr>
              <w:pStyle w:val="CellColumn"/>
            </w:pPr>
            <w:r>
              <w:rPr>
                <w:rFonts w:cs="Times New Roman"/>
              </w:rPr>
              <w:t>00</w:t>
            </w:r>
          </w:p>
        </w:tc>
        <w:tc>
          <w:tcPr>
            <w:tcW w:w="1632" w:type="dxa"/>
          </w:tcPr>
          <w:p w:rsidR="00905089" w:rsidRDefault="00905089" w:rsidP="00AF2F06">
            <w:pPr>
              <w:pStyle w:val="CellColumn"/>
            </w:pPr>
            <w:r>
              <w:rPr>
                <w:rFonts w:cs="Times New Roman"/>
              </w:rPr>
              <w:t>32.500</w:t>
            </w:r>
          </w:p>
        </w:tc>
        <w:tc>
          <w:tcPr>
            <w:tcW w:w="1632" w:type="dxa"/>
          </w:tcPr>
          <w:p w:rsidR="00905089" w:rsidRDefault="00905089" w:rsidP="00AF2F06">
            <w:pPr>
              <w:pStyle w:val="CellColumn"/>
            </w:pPr>
            <w:r>
              <w:rPr>
                <w:rFonts w:cs="Times New Roman"/>
              </w:rPr>
              <w:t>00</w:t>
            </w:r>
          </w:p>
        </w:tc>
        <w:tc>
          <w:tcPr>
            <w:tcW w:w="1632" w:type="dxa"/>
          </w:tcPr>
          <w:p w:rsidR="00905089" w:rsidRDefault="00905089" w:rsidP="00AF2F06">
            <w:pPr>
              <w:pStyle w:val="CellColumn"/>
            </w:pPr>
            <w:r>
              <w:rPr>
                <w:rFonts w:cs="Times New Roman"/>
              </w:rPr>
              <w:t>00</w:t>
            </w:r>
          </w:p>
        </w:tc>
        <w:tc>
          <w:tcPr>
            <w:tcW w:w="510" w:type="dxa"/>
          </w:tcPr>
          <w:p w:rsidR="00905089" w:rsidRDefault="00905089" w:rsidP="00AF2F06">
            <w:pPr>
              <w:pStyle w:val="CellColumn"/>
            </w:pPr>
            <w:r>
              <w:rPr>
                <w:rFonts w:cs="Times New Roman"/>
              </w:rPr>
              <w:t>0,0</w:t>
            </w:r>
          </w:p>
        </w:tc>
      </w:tr>
    </w:tbl>
    <w:p w:rsidR="00905089" w:rsidRDefault="00905089" w:rsidP="00905089">
      <w:pPr>
        <w:jc w:val="left"/>
      </w:pPr>
    </w:p>
    <w:p w:rsidR="00905089" w:rsidRDefault="00905089" w:rsidP="00905089">
      <w:r>
        <w:t xml:space="preserve">Ministarstvo pravosuđa, uprave i digitalne transformacije je nositelj projekta Uspostava središnjeg sustava interoperabilnosti, financiran iz Nacionalnog plana oporavka i otpornosti 2021.-2026. Kroz ulaganja u digitalnu infrastrukturu, unapređenje sigurnosnih standarda i razvoj korisnički prilagođenih javnih usluga, stvoreni su temelji za integraciju europskog sustava OOTS-a. Hrvatska je dostigla razinu 5 od mogućih 6 na skali uspješnosti integracije OOTS-a. </w:t>
      </w:r>
    </w:p>
    <w:p w:rsidR="00905089" w:rsidRDefault="00905089" w:rsidP="00905089">
      <w:r>
        <w:t xml:space="preserve">  </w:t>
      </w:r>
    </w:p>
    <w:p w:rsidR="00905089" w:rsidRDefault="00905089" w:rsidP="00905089">
      <w:r>
        <w:t xml:space="preserve">Projekt OOTS omogućuje implementaciju načela "samo jednom" (once-only principle), prema kojem građani i poduzeća dostavljaju svoje podatke tijelima javne uprave samo jednom. Nakon toga, ti se podaci sigurno razmjenjuju između različitih institucija, čime se smanjuje administrativno opterećenje, ubrzavaju procesi i povećava kvaliteta usluga, uz visoku razinu zaštite privatnosti. </w:t>
      </w:r>
    </w:p>
    <w:p w:rsidR="00905089" w:rsidRDefault="00905089" w:rsidP="00905089">
      <w:r>
        <w:t xml:space="preserve">Integracija OOTS-a u nacionalni sustav javnih usluga omogućit će još učinkovitiju primjenu ovog sučelja, što će građanima i poduzećima olakšati interakciju s administracijom. </w:t>
      </w:r>
    </w:p>
    <w:p w:rsidR="00905089" w:rsidRDefault="00905089" w:rsidP="00905089">
      <w:r>
        <w:t xml:space="preserve">AZVO je na OOTS platformu integrirao dvije svoje aktivnosti: </w:t>
      </w:r>
    </w:p>
    <w:p w:rsidR="00905089" w:rsidRDefault="00905089" w:rsidP="00905089">
      <w:r>
        <w:t>-</w:t>
      </w:r>
      <w:r>
        <w:tab/>
        <w:t xml:space="preserve">Prijava diplomskih studija </w:t>
      </w:r>
    </w:p>
    <w:p w:rsidR="00905089" w:rsidRDefault="00905089" w:rsidP="00905089">
      <w:r>
        <w:t>-</w:t>
      </w:r>
      <w:r>
        <w:tab/>
        <w:t xml:space="preserve">Priznavanje inozemnih kvalifikacija u svrhu upisa na diplomske studije </w:t>
      </w:r>
    </w:p>
    <w:p w:rsidR="00905089" w:rsidRDefault="00905089" w:rsidP="00905089">
      <w:r>
        <w:t xml:space="preserve">Projekt je dio šireg plana Europske komisije, financiranog kroz program za povezivanje Europe (Connecting Europe Facility). </w:t>
      </w:r>
    </w:p>
    <w:p w:rsidR="00905089" w:rsidRDefault="00905089" w:rsidP="00905089">
      <w:r>
        <w:t>Projekt USSI traje do 31.07.2026. godine, a Agencija za znanost i visoko obrazovanje nastavlja s novom aktivnosti, koja nije obuhvaćena 2024. godine. Radi se o slanju podataka o ostvarenim pravima upisa u OOTS sustav. 2024.g. smo spajanjem na OOTS sustav obuhvatili aktivnosti zaprimanja podataka iz OOTS-a.</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877"/>
        <w:gridCol w:w="1957"/>
        <w:gridCol w:w="1810"/>
        <w:gridCol w:w="917"/>
        <w:gridCol w:w="894"/>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Podaci o ostvarenim pravima upisa su uspješno integrirani u OOTS sustav</w:t>
            </w:r>
          </w:p>
        </w:tc>
        <w:tc>
          <w:tcPr>
            <w:tcW w:w="2245" w:type="dxa"/>
          </w:tcPr>
          <w:p w:rsidR="00905089" w:rsidRDefault="00905089" w:rsidP="00AF2F06">
            <w:pPr>
              <w:pStyle w:val="CellColumn"/>
            </w:pPr>
            <w:r>
              <w:rPr>
                <w:rFonts w:cs="Times New Roman"/>
              </w:rPr>
              <w:t>Ovim RH omogućava prekogranično korištenje podataka o ostvarenim pravima upisa na visoka ucilista u RH sukladno Prilogu II SDG Uredbe</w:t>
            </w:r>
          </w:p>
        </w:tc>
        <w:tc>
          <w:tcPr>
            <w:tcW w:w="918" w:type="dxa"/>
          </w:tcPr>
          <w:p w:rsidR="00905089" w:rsidRDefault="00905089" w:rsidP="00AF2F06">
            <w:pPr>
              <w:jc w:val="left"/>
            </w:pPr>
          </w:p>
        </w:tc>
        <w:tc>
          <w:tcPr>
            <w:tcW w:w="918" w:type="dxa"/>
          </w:tcPr>
          <w:p w:rsidR="00905089" w:rsidRDefault="00905089" w:rsidP="00AF2F06">
            <w:pPr>
              <w:jc w:val="left"/>
            </w:pP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r>
    </w:tbl>
    <w:p w:rsidR="00905089" w:rsidRDefault="00905089" w:rsidP="00905089">
      <w:pPr>
        <w:jc w:val="left"/>
      </w:pPr>
    </w:p>
    <w:p w:rsidR="00905089" w:rsidRDefault="00905089" w:rsidP="00905089">
      <w:pPr>
        <w:pStyle w:val="Heading4"/>
      </w:pPr>
      <w:r>
        <w:t>K621178 OPREMANJE I UREĐENJE AGENCIJE ZA ZNANOST I VISOKO OBRAZOVANJE</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w:t>
      </w:r>
    </w:p>
    <w:tbl>
      <w:tblPr>
        <w:tblStyle w:val="StilTablice"/>
        <w:tblW w:w="10206" w:type="dxa"/>
        <w:jc w:val="center"/>
        <w:tblLook w:val="04A0" w:firstRow="1" w:lastRow="0" w:firstColumn="1" w:lastColumn="0" w:noHBand="0" w:noVBand="1"/>
      </w:tblPr>
      <w:tblGrid>
        <w:gridCol w:w="1570"/>
        <w:gridCol w:w="1542"/>
        <w:gridCol w:w="1522"/>
        <w:gridCol w:w="1534"/>
        <w:gridCol w:w="1534"/>
        <w:gridCol w:w="1534"/>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K621178-OPREMANJE I UREĐENJE AGENCIJE ZA ZNANOST I VISOKO OBRAZOVANJE</w:t>
            </w:r>
          </w:p>
        </w:tc>
        <w:tc>
          <w:tcPr>
            <w:tcW w:w="1632" w:type="dxa"/>
          </w:tcPr>
          <w:p w:rsidR="00905089" w:rsidRDefault="00905089" w:rsidP="00AF2F06">
            <w:pPr>
              <w:pStyle w:val="CellColumn"/>
            </w:pPr>
            <w:r>
              <w:rPr>
                <w:rFonts w:cs="Times New Roman"/>
              </w:rPr>
              <w:t>59.504</w:t>
            </w:r>
          </w:p>
        </w:tc>
        <w:tc>
          <w:tcPr>
            <w:tcW w:w="1632" w:type="dxa"/>
          </w:tcPr>
          <w:p w:rsidR="00905089" w:rsidRDefault="00905089" w:rsidP="00AF2F06">
            <w:pPr>
              <w:pStyle w:val="CellColumn"/>
            </w:pPr>
            <w:r>
              <w:rPr>
                <w:rFonts w:cs="Times New Roman"/>
              </w:rPr>
              <w:t>86.500</w:t>
            </w:r>
          </w:p>
        </w:tc>
        <w:tc>
          <w:tcPr>
            <w:tcW w:w="1632" w:type="dxa"/>
          </w:tcPr>
          <w:p w:rsidR="00905089" w:rsidRDefault="00905089" w:rsidP="00AF2F06">
            <w:pPr>
              <w:pStyle w:val="CellColumn"/>
            </w:pPr>
            <w:r>
              <w:rPr>
                <w:rFonts w:cs="Times New Roman"/>
              </w:rPr>
              <w:t>151.500</w:t>
            </w:r>
          </w:p>
        </w:tc>
        <w:tc>
          <w:tcPr>
            <w:tcW w:w="1632" w:type="dxa"/>
          </w:tcPr>
          <w:p w:rsidR="00905089" w:rsidRDefault="00905089" w:rsidP="00AF2F06">
            <w:pPr>
              <w:pStyle w:val="CellColumn"/>
            </w:pPr>
            <w:r>
              <w:rPr>
                <w:rFonts w:cs="Times New Roman"/>
              </w:rPr>
              <w:t>151.500</w:t>
            </w:r>
          </w:p>
        </w:tc>
        <w:tc>
          <w:tcPr>
            <w:tcW w:w="1632" w:type="dxa"/>
          </w:tcPr>
          <w:p w:rsidR="00905089" w:rsidRDefault="00905089" w:rsidP="00AF2F06">
            <w:pPr>
              <w:pStyle w:val="CellColumn"/>
            </w:pPr>
            <w:r>
              <w:rPr>
                <w:rFonts w:cs="Times New Roman"/>
              </w:rPr>
              <w:t>151.500</w:t>
            </w:r>
          </w:p>
        </w:tc>
        <w:tc>
          <w:tcPr>
            <w:tcW w:w="510" w:type="dxa"/>
          </w:tcPr>
          <w:p w:rsidR="00905089" w:rsidRDefault="00905089" w:rsidP="00AF2F06">
            <w:pPr>
              <w:pStyle w:val="CellColumn"/>
            </w:pPr>
            <w:r>
              <w:rPr>
                <w:rFonts w:cs="Times New Roman"/>
              </w:rPr>
              <w:t>175,1</w:t>
            </w:r>
          </w:p>
        </w:tc>
      </w:tr>
    </w:tbl>
    <w:p w:rsidR="00905089" w:rsidRDefault="00905089" w:rsidP="00905089">
      <w:pPr>
        <w:jc w:val="left"/>
      </w:pPr>
    </w:p>
    <w:p w:rsidR="00905089" w:rsidRDefault="00905089" w:rsidP="00905089">
      <w:r>
        <w:t>Sredstva na aktivnosti  namijenjena su za opremanje i uređenje Agencije za znanost i visoko obrazovanje. Planirana sredstva odnose se na rashode za licence u iznosu od 7.500 eura, rashode za uredsku opremu i namještaj u iznosu od 15.000 eura te rashode za ulaganje u računalne programe u iznosu od 28.630 eura. Sredstva namijenjena za računalne usluge u iznosu od 85.000 eura odnose se na održavanje novog informacijskog sustava razvijenog za podršku postupcima vrednovanja unutar ISPiK-a i održavanja centralne evidencije unutar AZVO-a (CEP).</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53"/>
        <w:gridCol w:w="1915"/>
        <w:gridCol w:w="1778"/>
        <w:gridCol w:w="917"/>
        <w:gridCol w:w="892"/>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Osiguran je kontinuirani rad informacijskog sustava i njegovo korištenje u postupcima vanjskih vrednovanja</w:t>
            </w:r>
          </w:p>
        </w:tc>
        <w:tc>
          <w:tcPr>
            <w:tcW w:w="2245" w:type="dxa"/>
          </w:tcPr>
          <w:p w:rsidR="00905089" w:rsidRDefault="00905089" w:rsidP="00AF2F06">
            <w:pPr>
              <w:pStyle w:val="CellColumn"/>
            </w:pPr>
            <w:r>
              <w:rPr>
                <w:rFonts w:cs="Times New Roman"/>
              </w:rPr>
              <w:t>Sustav informatičke podrške za provođenje reakreditacije koji se koristi za prikupljanje i obradu podataka svih visokih učilišta u postupcima vanjskih vrednovanja.</w:t>
            </w:r>
          </w:p>
        </w:tc>
        <w:tc>
          <w:tcPr>
            <w:tcW w:w="918" w:type="dxa"/>
          </w:tcPr>
          <w:p w:rsidR="00905089" w:rsidRDefault="00905089" w:rsidP="00AF2F06">
            <w:pPr>
              <w:pStyle w:val="CellColumn"/>
            </w:pPr>
            <w:r>
              <w:rPr>
                <w:rFonts w:cs="Times New Roman"/>
              </w:rPr>
              <w:t>%</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r>
    </w:tbl>
    <w:p w:rsidR="00905089" w:rsidRDefault="00905089" w:rsidP="00905089">
      <w:pPr>
        <w:jc w:val="left"/>
      </w:pPr>
    </w:p>
    <w:p w:rsidR="00905089" w:rsidRDefault="00905089" w:rsidP="00905089">
      <w:pPr>
        <w:pStyle w:val="Heading4"/>
      </w:pPr>
      <w:r>
        <w:t>K621194 NACIONALNI INFORMACIJSKI SUSTAV PRIJAVA NA VISOKA UČILIŠTA - NISpVU</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 i Zakona o visokom obrazovanju i znanstvenoj djelatnosti</w:t>
      </w:r>
    </w:p>
    <w:tbl>
      <w:tblPr>
        <w:tblStyle w:val="StilTablice"/>
        <w:tblW w:w="10206" w:type="dxa"/>
        <w:jc w:val="center"/>
        <w:tblLook w:val="04A0" w:firstRow="1" w:lastRow="0" w:firstColumn="1" w:lastColumn="0" w:noHBand="0" w:noVBand="1"/>
      </w:tblPr>
      <w:tblGrid>
        <w:gridCol w:w="1638"/>
        <w:gridCol w:w="1538"/>
        <w:gridCol w:w="1515"/>
        <w:gridCol w:w="1515"/>
        <w:gridCol w:w="1515"/>
        <w:gridCol w:w="1515"/>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lastRenderedPageBreak/>
              <w:t>K621194-NACIONALNI INFORMACIJSKI SUSTAV PRIJAVA NA VISOKA UČILIŠTA - NISpVU</w:t>
            </w:r>
          </w:p>
        </w:tc>
        <w:tc>
          <w:tcPr>
            <w:tcW w:w="1632" w:type="dxa"/>
          </w:tcPr>
          <w:p w:rsidR="00905089" w:rsidRDefault="00905089" w:rsidP="00AF2F06">
            <w:pPr>
              <w:pStyle w:val="CellColumn"/>
            </w:pPr>
            <w:r>
              <w:rPr>
                <w:rFonts w:cs="Times New Roman"/>
              </w:rPr>
              <w:t>81.861</w:t>
            </w:r>
          </w:p>
        </w:tc>
        <w:tc>
          <w:tcPr>
            <w:tcW w:w="1632" w:type="dxa"/>
          </w:tcPr>
          <w:p w:rsidR="00905089" w:rsidRDefault="00905089" w:rsidP="00AF2F06">
            <w:pPr>
              <w:pStyle w:val="CellColumn"/>
            </w:pPr>
            <w:r>
              <w:rPr>
                <w:rFonts w:cs="Times New Roman"/>
              </w:rPr>
              <w:t>83.800</w:t>
            </w:r>
          </w:p>
        </w:tc>
        <w:tc>
          <w:tcPr>
            <w:tcW w:w="1632" w:type="dxa"/>
          </w:tcPr>
          <w:p w:rsidR="00905089" w:rsidRDefault="00905089" w:rsidP="00AF2F06">
            <w:pPr>
              <w:pStyle w:val="CellColumn"/>
            </w:pPr>
            <w:r>
              <w:rPr>
                <w:rFonts w:cs="Times New Roman"/>
              </w:rPr>
              <w:t>83.800</w:t>
            </w:r>
          </w:p>
        </w:tc>
        <w:tc>
          <w:tcPr>
            <w:tcW w:w="1632" w:type="dxa"/>
          </w:tcPr>
          <w:p w:rsidR="00905089" w:rsidRDefault="00905089" w:rsidP="00AF2F06">
            <w:pPr>
              <w:pStyle w:val="CellColumn"/>
            </w:pPr>
            <w:r>
              <w:rPr>
                <w:rFonts w:cs="Times New Roman"/>
              </w:rPr>
              <w:t>83.800</w:t>
            </w:r>
          </w:p>
        </w:tc>
        <w:tc>
          <w:tcPr>
            <w:tcW w:w="1632" w:type="dxa"/>
          </w:tcPr>
          <w:p w:rsidR="00905089" w:rsidRDefault="00905089" w:rsidP="00AF2F06">
            <w:pPr>
              <w:pStyle w:val="CellColumn"/>
            </w:pPr>
            <w:r>
              <w:rPr>
                <w:rFonts w:cs="Times New Roman"/>
              </w:rPr>
              <w:t>83.800</w:t>
            </w:r>
          </w:p>
        </w:tc>
        <w:tc>
          <w:tcPr>
            <w:tcW w:w="510" w:type="dxa"/>
          </w:tcPr>
          <w:p w:rsidR="00905089" w:rsidRDefault="00905089" w:rsidP="00AF2F06">
            <w:pPr>
              <w:pStyle w:val="CellColumn"/>
            </w:pPr>
            <w:r>
              <w:rPr>
                <w:rFonts w:cs="Times New Roman"/>
              </w:rPr>
              <w:t>100,0</w:t>
            </w:r>
          </w:p>
        </w:tc>
      </w:tr>
    </w:tbl>
    <w:p w:rsidR="00905089" w:rsidRDefault="00905089" w:rsidP="00905089">
      <w:pPr>
        <w:jc w:val="left"/>
      </w:pPr>
    </w:p>
    <w:p w:rsidR="00905089" w:rsidRDefault="00905089" w:rsidP="00905089">
      <w:r>
        <w:t>Sredstva na aktivnosti odnose se na rashode za održavanje računalnih programa u iznosu od 68.000 eura i ulaganje u računalne programe u iznosu od 15.800 eura. Rashodi za ulaganje u računalne programe planirani su za isplatu ugovorenih usluga daljnjeg održavanja procesa prijava i upisa na studijske programe, a odnose se na usluge reaktivnog i proaktivnog održavanja Nacionalnoga informacijskog sustava prijava na visoka učilišta (NISpVU) i na ugovorne usluge za održavanje i nadogradnju dijela Nacionalnoga informacijskog sustava za prijavu na diplomske studije (NISpDS) koji se odnosi na sinkronizaciju s ISVU sustavom.</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908"/>
        <w:gridCol w:w="1964"/>
        <w:gridCol w:w="1774"/>
        <w:gridCol w:w="917"/>
        <w:gridCol w:w="892"/>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Informacijski sustavi za prijavu studijskih programa redovno su održavani i korisnici sustava ih koriste bez poteškoća</w:t>
            </w:r>
          </w:p>
        </w:tc>
        <w:tc>
          <w:tcPr>
            <w:tcW w:w="2245" w:type="dxa"/>
          </w:tcPr>
          <w:p w:rsidR="00905089" w:rsidRDefault="00905089" w:rsidP="00AF2F06">
            <w:pPr>
              <w:pStyle w:val="CellColumn"/>
            </w:pPr>
            <w:r>
              <w:rPr>
                <w:rFonts w:cs="Times New Roman"/>
              </w:rPr>
              <w:t>Održavanje informacijskih sustava AZVO za prijave na prijediplomske, integrirane i diplomske studijske programe</w:t>
            </w:r>
          </w:p>
        </w:tc>
        <w:tc>
          <w:tcPr>
            <w:tcW w:w="918" w:type="dxa"/>
          </w:tcPr>
          <w:p w:rsidR="00905089" w:rsidRDefault="00905089" w:rsidP="00AF2F06">
            <w:pPr>
              <w:pStyle w:val="CellColumn"/>
            </w:pPr>
            <w:r>
              <w:rPr>
                <w:rFonts w:cs="Times New Roman"/>
              </w:rPr>
              <w:t>%</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c>
          <w:tcPr>
            <w:tcW w:w="918" w:type="dxa"/>
          </w:tcPr>
          <w:p w:rsidR="00905089" w:rsidRDefault="00905089" w:rsidP="00AF2F06">
            <w:pPr>
              <w:pStyle w:val="CellColumn"/>
            </w:pPr>
            <w:r>
              <w:rPr>
                <w:rFonts w:cs="Times New Roman"/>
              </w:rPr>
              <w:t>100%</w:t>
            </w:r>
          </w:p>
        </w:tc>
      </w:tr>
    </w:tbl>
    <w:p w:rsidR="00905089" w:rsidRDefault="00905089" w:rsidP="00905089">
      <w:pPr>
        <w:jc w:val="left"/>
      </w:pPr>
    </w:p>
    <w:p w:rsidR="00905089" w:rsidRDefault="00905089" w:rsidP="00905089">
      <w:pPr>
        <w:pStyle w:val="Heading4"/>
      </w:pPr>
      <w:r>
        <w:t>K867020 PROGRAM UČINKOVITI LJUDSKI POTENCIJALI 2021.-2027.., PRIORITET 2 - OSIGURAVANJE KVALITETE U VISOKOM OBRAZOVANJU</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 i Zakon o visokom obrazovanju i znanstvenoj djelatnosti</w:t>
      </w:r>
    </w:p>
    <w:tbl>
      <w:tblPr>
        <w:tblStyle w:val="StilTablice"/>
        <w:tblW w:w="10206" w:type="dxa"/>
        <w:jc w:val="center"/>
        <w:tblLook w:val="04A0" w:firstRow="1" w:lastRow="0" w:firstColumn="1" w:lastColumn="0" w:noHBand="0" w:noVBand="1"/>
      </w:tblPr>
      <w:tblGrid>
        <w:gridCol w:w="1638"/>
        <w:gridCol w:w="1525"/>
        <w:gridCol w:w="1534"/>
        <w:gridCol w:w="1513"/>
        <w:gridCol w:w="1513"/>
        <w:gridCol w:w="1513"/>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K867020-PROGRAM UČINKOVITI LJUDSKI POTENCIJALI 2021.-2027.., PRIORITET 2 - OSIGURAVANJE KVALITETE U VISOKOM OBRAZOVANJU</w:t>
            </w:r>
          </w:p>
        </w:tc>
        <w:tc>
          <w:tcPr>
            <w:tcW w:w="1632" w:type="dxa"/>
          </w:tcPr>
          <w:p w:rsidR="00905089" w:rsidRDefault="00905089" w:rsidP="00AF2F06">
            <w:pPr>
              <w:pStyle w:val="CellColumn"/>
            </w:pPr>
            <w:r>
              <w:rPr>
                <w:rFonts w:cs="Times New Roman"/>
              </w:rPr>
              <w:t>121.316</w:t>
            </w:r>
          </w:p>
        </w:tc>
        <w:tc>
          <w:tcPr>
            <w:tcW w:w="1632" w:type="dxa"/>
          </w:tcPr>
          <w:p w:rsidR="00905089" w:rsidRDefault="00905089" w:rsidP="00AF2F06">
            <w:pPr>
              <w:pStyle w:val="CellColumn"/>
            </w:pPr>
            <w:r>
              <w:rPr>
                <w:rFonts w:cs="Times New Roman"/>
              </w:rPr>
              <w:t>1.250.456</w:t>
            </w:r>
          </w:p>
        </w:tc>
        <w:tc>
          <w:tcPr>
            <w:tcW w:w="1632" w:type="dxa"/>
          </w:tcPr>
          <w:p w:rsidR="00905089" w:rsidRDefault="00905089" w:rsidP="00AF2F06">
            <w:pPr>
              <w:pStyle w:val="CellColumn"/>
            </w:pPr>
            <w:r>
              <w:rPr>
                <w:rFonts w:cs="Times New Roman"/>
              </w:rPr>
              <w:t>922.068</w:t>
            </w:r>
          </w:p>
        </w:tc>
        <w:tc>
          <w:tcPr>
            <w:tcW w:w="1632" w:type="dxa"/>
          </w:tcPr>
          <w:p w:rsidR="00905089" w:rsidRDefault="00905089" w:rsidP="00AF2F06">
            <w:pPr>
              <w:pStyle w:val="CellColumn"/>
            </w:pPr>
            <w:r>
              <w:rPr>
                <w:rFonts w:cs="Times New Roman"/>
              </w:rPr>
              <w:t>518.448</w:t>
            </w:r>
          </w:p>
        </w:tc>
        <w:tc>
          <w:tcPr>
            <w:tcW w:w="1632" w:type="dxa"/>
          </w:tcPr>
          <w:p w:rsidR="00905089" w:rsidRDefault="00905089" w:rsidP="00AF2F06">
            <w:pPr>
              <w:pStyle w:val="CellColumn"/>
            </w:pPr>
            <w:r>
              <w:rPr>
                <w:rFonts w:cs="Times New Roman"/>
              </w:rPr>
              <w:t>230.254</w:t>
            </w:r>
          </w:p>
        </w:tc>
        <w:tc>
          <w:tcPr>
            <w:tcW w:w="510" w:type="dxa"/>
          </w:tcPr>
          <w:p w:rsidR="00905089" w:rsidRDefault="00905089" w:rsidP="00AF2F06">
            <w:pPr>
              <w:pStyle w:val="CellColumn"/>
            </w:pPr>
            <w:r>
              <w:rPr>
                <w:rFonts w:cs="Times New Roman"/>
              </w:rPr>
              <w:t>73,7</w:t>
            </w:r>
          </w:p>
        </w:tc>
      </w:tr>
    </w:tbl>
    <w:p w:rsidR="00905089" w:rsidRDefault="00905089" w:rsidP="00905089">
      <w:pPr>
        <w:jc w:val="left"/>
      </w:pPr>
    </w:p>
    <w:p w:rsidR="00905089" w:rsidRDefault="00905089" w:rsidP="00905089">
      <w:r>
        <w:lastRenderedPageBreak/>
        <w:t xml:space="preserve">Projekt uključuje unaprjeđenje postupaka vanjskog osiguravanja kvalitete u sustavu visokog obrazovanja koje AZVO provodi te povezane razvojne aktivnosti s ciljem unaprjeđenja unutarnjeg sustava osiguravanja kvalitete.     </w:t>
      </w:r>
    </w:p>
    <w:p w:rsidR="00905089" w:rsidRDefault="00905089" w:rsidP="00905089">
      <w:r>
        <w:t xml:space="preserve">    </w:t>
      </w:r>
    </w:p>
    <w:p w:rsidR="00905089" w:rsidRDefault="00905089" w:rsidP="00905089">
      <w:r>
        <w:t xml:space="preserve">Projektne aktivnosti se u bitnome odnose na unaprjeđenje postupaka osiguravanja kvalitete, što uključuje i izradu pripadajuće dokumentacije koja već tijekom projekta treba postati dijelom nacionalnoga zakonodavnog okvira odnosno internih akata AZVO-a i visokih učilišta. Ugradnja testiranih postupaka u propise treba osigurati ne samo status AZVO-a kao nacionalnog tijela nego i savjetovanje s javnošću predviđeno za svaku pojedinu inovaciju, popraćenu promidžbenim i informativnim aktivnostima, kao i velik broj osoba uključenih u pokusne provedbe. I aktivnosti anketiranja, prikupljanja podataka i informiranja javnosti koje će provesti unutar projekta predviđene su kao dio redovite djelatnosti AZVO-a te će se nastaviti provoditi i nakon projekta. Sve te aktivnosti će kao i dosad biti financirane iz državnog proračuna, odnosno iz novih projekata kad je riječ o njihovom daljnjem razvijanju i unaprjeđivanju. Nakon projekta bi AZVO-u trebao ostati i cjelovit interni računalni sustav koji u potpunosti održava i administrira sam AZVO, što će sustav učiniti prilagodljivim budućim potrebama i neovisnim od vanjskih ponuditelja usluga. Svi sustavi se razvijaju u suradnji s Ministarstvom znanosti, obrazovanja i mladih, povezanim ustanovama (trenutno CARNET, SRCE) čime se unaprijed osigurava kompatibilnost sa svim sustavima u hrvatskom visokom obrazovanju, a postoji i poveznica na europske baze koja će se i dalje održavati. Edukacijske aktivnosti unutar projekta namijenjene zaposlenicima AZVO-a su zamišljene kao 'trening trenera' – sve naučeno će biti osposobljeni prenijeti pripadnicima ciljnih skupina na budućim edukacijama. Projekt će ujedno proizvesti niz smjernica, uputa i edukativnih materijala koji će i nakon projekta biti dostupni svim zainteresiranima putem mrežne stranice AZVO-a te projekta. Svi će pripadnici ciljnih skupina, također, na kraju projekta imati na raspolaganju bazu znanja (prezentacija, studija, izvješća) te opsežne podatke na razini institucija, programa i nacionalnoj razini koji će poslužiti za donošenje boljih strateških i kolektivnih odluka te individualnih i skupnih odluka.    </w:t>
      </w:r>
    </w:p>
    <w:p w:rsidR="00905089" w:rsidRDefault="00905089" w:rsidP="00905089">
      <w:r>
        <w:t xml:space="preserve">U 2026. godini planiraju se sredstva za provedbu vanjskih vrednovanja visokog obrazovanja te niza edukativnih aktivnosti za visoka učilišta. Planirana sredstva obuhvaćaju: naknade članovima stručnih povjerenstava u postupcima vrednovanja, naknade za predavače na edukacijama AZVO-a, konferencijama i radionicama za djelatnike visokih učilišta i studente, voditelje fokus grupa, troškove za razvoj i unaprjeđenje postupaka vanjskih vrednovanja, recenzije analiza i publikacija; putne troškove za predavače, usluge moderatora i fotografa na konferencijama; troškove izrade analiza i publikacija AZVO-a. Planiraju se troškovi  najma dvorana za održavanje edukacijskih aktivnosti AZVO-a, konferencija, fokus grupe i drugih događanja s većim brojem sudionika (20 i više) – djelatnika visokih učilišta i studenta; zatim jednogodišnje licence za statističke programe i programe za komunikaciju na daljinu i sl. Troškovi reprezentacije obuhvaćaju troškove cateringa i radnih ručkova za postupke vrednovanja, radnih grupa za razvoj i unaprjeđenje postupaka vrednovanja, edukacije, konferencije i radionice za djelatnike visokih učilišta i studente te članove fokus grupa.    </w:t>
      </w:r>
    </w:p>
    <w:p w:rsidR="00905089" w:rsidRDefault="00905089" w:rsidP="00905089">
      <w:r>
        <w:t xml:space="preserve">Nadalje, službena putovanja u okviru projekta uključuju putne troškove (noćenje, dnevnice, trošak puta) zaposlenika AZVO-a koji sudjeluju na aktivnostima projekta. Izračun se temelji na trošku putovanja u skladu s dosadašnjim iskustvima AZVO-a. Stručno usavršavanje djelatnika uključuje trošak domaćih i međunarodnih kotizacija za konferencije, edukacije, seminare za zaposlenike Agencije koji sudjeluju na aktivnostima projekta.     </w:t>
      </w:r>
    </w:p>
    <w:p w:rsidR="00905089" w:rsidRDefault="00905089" w:rsidP="00905089">
      <w:r>
        <w:t xml:space="preserve">Usluge promidžbe i informiranja  uključuju izradu vizualnog identiteta projekta, tisak promotivnog materijala i svega što je relevantno za vidljivost projekta i njegovih rezultata.     </w:t>
      </w:r>
    </w:p>
    <w:p w:rsidR="00905089" w:rsidRDefault="00905089" w:rsidP="00905089">
      <w:r>
        <w:t xml:space="preserve">Planirana su sredstva za putne troškove i smještaj domaćih i međunarodnih recenzenata u postupcima vrednovanja, zatim stručnjaka predavača na radionicama, konferencijama i sl., kao i članova radnih skupina za izradu dokumenata za postupke vrednovanja, sudionika radionica i slično.     </w:t>
      </w:r>
    </w:p>
    <w:p w:rsidR="00905089" w:rsidRDefault="00905089" w:rsidP="00905089">
      <w:r>
        <w:t xml:space="preserve">Također su planirana sredstva za nabavu odgovarajućih licenci, uključujući troškove za višegodišnje licence za statističke programe, programe za prevođenje i programe za komunikaciju na daljinu i sl. koji se koriste za omogućavanje online vanjskih vrednovanja i prijevode završnih izvješća stručnih </w:t>
      </w:r>
      <w:r>
        <w:lastRenderedPageBreak/>
        <w:t xml:space="preserve">povjerenstava. Uredska oprema uključuje nabavu računala, prijenosnih računala i računalne opreme za podršku provedbi projektnih aktivnosti (uključujući podršku procesima vanjskog vrednovanja).    </w:t>
      </w:r>
    </w:p>
    <w:p w:rsidR="00905089" w:rsidRDefault="00905089" w:rsidP="00905089">
      <w:r>
        <w:t xml:space="preserve">Za unaprjeđenje kompletnoga informacijskog sustava AZVO-a, odnosno uvođenje adekvatne digitalizacije poslovnih procesa AZVO-a planirana su sredstva koja obuhvaćaju troškove izrade informacijskog sustava AZVO-a koji objedinjuje poslovne procese AZVO-a s ciljem povećanja poslovne učinkovitosti, zatim obuhvaća troškove izrade informacijskog sustava podrške za provedbu vanjskih vrednovanja.    </w:t>
      </w:r>
    </w:p>
    <w:p w:rsidR="00905089" w:rsidRDefault="00905089" w:rsidP="00905089">
      <w:r>
        <w:t>AZVO je aktivni punopravnih član relevantnih međunarodnih udruženja za koje su za podmirenje godišnjih članarina planirana sredstva. Stavka obuhvaća godišnje članarine u ENQA-i, EQAR-u, CEENQA-i, INQAAHE-u te drugim stručnim udruženjima.</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1890"/>
        <w:gridCol w:w="2002"/>
        <w:gridCol w:w="1755"/>
        <w:gridCol w:w="917"/>
        <w:gridCol w:w="891"/>
        <w:gridCol w:w="917"/>
        <w:gridCol w:w="917"/>
        <w:gridCol w:w="917"/>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Broj provedenih vanjskih vrednovanja</w:t>
            </w:r>
          </w:p>
        </w:tc>
        <w:tc>
          <w:tcPr>
            <w:tcW w:w="2245" w:type="dxa"/>
          </w:tcPr>
          <w:p w:rsidR="00905089" w:rsidRDefault="00905089" w:rsidP="00AF2F06">
            <w:pPr>
              <w:pStyle w:val="CellColumn"/>
            </w:pPr>
            <w:r>
              <w:rPr>
                <w:rFonts w:cs="Times New Roman"/>
              </w:rPr>
              <w:t>Vanjska vrednovanja podrazumijevaju postupke: reakreditaciju VU-a, inicijalnu akreditaciju studijskih programa, inicijalnu akreditaciju doktorskih studija, vrednovanje provedbe programskih ugovora i tematsko vrednovanje (provedba analize disciplinarnosti)</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60</w:t>
            </w:r>
          </w:p>
        </w:tc>
        <w:tc>
          <w:tcPr>
            <w:tcW w:w="918" w:type="dxa"/>
          </w:tcPr>
          <w:p w:rsidR="00905089" w:rsidRDefault="00905089" w:rsidP="00AF2F06">
            <w:pPr>
              <w:pStyle w:val="CellColumn"/>
            </w:pPr>
            <w:r>
              <w:rPr>
                <w:rFonts w:cs="Times New Roman"/>
              </w:rPr>
              <w:t>90</w:t>
            </w:r>
          </w:p>
        </w:tc>
        <w:tc>
          <w:tcPr>
            <w:tcW w:w="918" w:type="dxa"/>
          </w:tcPr>
          <w:p w:rsidR="00905089" w:rsidRDefault="00905089" w:rsidP="00AF2F06">
            <w:pPr>
              <w:pStyle w:val="CellColumn"/>
            </w:pPr>
            <w:r>
              <w:rPr>
                <w:rFonts w:cs="Times New Roman"/>
              </w:rPr>
              <w:t>50</w:t>
            </w:r>
          </w:p>
        </w:tc>
      </w:tr>
      <w:tr w:rsidR="00905089" w:rsidTr="00AF2F06">
        <w:trPr>
          <w:jc w:val="center"/>
        </w:trPr>
        <w:tc>
          <w:tcPr>
            <w:tcW w:w="2245" w:type="dxa"/>
          </w:tcPr>
          <w:p w:rsidR="00905089" w:rsidRDefault="00905089" w:rsidP="00AF2F06">
            <w:pPr>
              <w:pStyle w:val="CellColumn"/>
            </w:pPr>
            <w:r>
              <w:rPr>
                <w:rFonts w:cs="Times New Roman"/>
              </w:rPr>
              <w:t>Broj održanih seminara, edukacija za predstavnike visokih učilišta</w:t>
            </w:r>
          </w:p>
        </w:tc>
        <w:tc>
          <w:tcPr>
            <w:tcW w:w="2245" w:type="dxa"/>
          </w:tcPr>
          <w:p w:rsidR="00905089" w:rsidRDefault="00905089" w:rsidP="00AF2F06">
            <w:pPr>
              <w:pStyle w:val="CellColumn"/>
            </w:pPr>
            <w:r>
              <w:rPr>
                <w:rFonts w:cs="Times New Roman"/>
              </w:rPr>
              <w:t>Edukacije podrazumijevaju: edukacije djelatnika VU-a s ciljem osnaživanja kapaciteta VU-a za unutarnje osiguravanje kvalitete, edukacije nastavnog osoblja VU-a s ciljem unaprjeđenja nastavničkih kompetencija te edukacije za studente u svrhu uključivanja u procese osiguravanja kvalitete</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10</w:t>
            </w:r>
          </w:p>
        </w:tc>
        <w:tc>
          <w:tcPr>
            <w:tcW w:w="918" w:type="dxa"/>
          </w:tcPr>
          <w:p w:rsidR="00905089" w:rsidRDefault="00905089" w:rsidP="00AF2F06">
            <w:pPr>
              <w:pStyle w:val="CellColumn"/>
            </w:pPr>
            <w:r>
              <w:rPr>
                <w:rFonts w:cs="Times New Roman"/>
              </w:rPr>
              <w:t>10</w:t>
            </w:r>
          </w:p>
        </w:tc>
        <w:tc>
          <w:tcPr>
            <w:tcW w:w="918" w:type="dxa"/>
          </w:tcPr>
          <w:p w:rsidR="00905089" w:rsidRDefault="00905089" w:rsidP="00AF2F06">
            <w:pPr>
              <w:pStyle w:val="CellColumn"/>
            </w:pPr>
            <w:r>
              <w:rPr>
                <w:rFonts w:cs="Times New Roman"/>
              </w:rPr>
              <w:t>10</w:t>
            </w:r>
          </w:p>
        </w:tc>
      </w:tr>
      <w:tr w:rsidR="00905089" w:rsidTr="00AF2F06">
        <w:trPr>
          <w:jc w:val="center"/>
        </w:trPr>
        <w:tc>
          <w:tcPr>
            <w:tcW w:w="2245" w:type="dxa"/>
          </w:tcPr>
          <w:p w:rsidR="00905089" w:rsidRDefault="00905089" w:rsidP="00AF2F06">
            <w:pPr>
              <w:pStyle w:val="CellColumn"/>
            </w:pPr>
            <w:r>
              <w:rPr>
                <w:rFonts w:cs="Times New Roman"/>
              </w:rPr>
              <w:lastRenderedPageBreak/>
              <w:t>Unaprjeđeni i novi postupci vanjskog vrednovanja</w:t>
            </w:r>
          </w:p>
        </w:tc>
        <w:tc>
          <w:tcPr>
            <w:tcW w:w="2245" w:type="dxa"/>
          </w:tcPr>
          <w:p w:rsidR="00905089" w:rsidRDefault="00905089" w:rsidP="00AF2F06">
            <w:pPr>
              <w:pStyle w:val="CellColumn"/>
            </w:pPr>
            <w:r>
              <w:rPr>
                <w:rFonts w:cs="Times New Roman"/>
              </w:rPr>
              <w:t>Podrazumijeva izradu modela programskog vrednovanja za inicijalnu akreditaciju doktorskih studija, model vrednovanja provedbe programskih ugovora, tematsko vrednovanje, model reakreditacije VU-a, inicijalna akreditacija studijskih programa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3</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0</w:t>
            </w:r>
          </w:p>
        </w:tc>
      </w:tr>
      <w:tr w:rsidR="00905089" w:rsidTr="00AF2F06">
        <w:trPr>
          <w:jc w:val="center"/>
        </w:trPr>
        <w:tc>
          <w:tcPr>
            <w:tcW w:w="2245" w:type="dxa"/>
          </w:tcPr>
          <w:p w:rsidR="00905089" w:rsidRDefault="00905089" w:rsidP="00AF2F06">
            <w:pPr>
              <w:pStyle w:val="CellColumn"/>
            </w:pPr>
            <w:r>
              <w:rPr>
                <w:rFonts w:cs="Times New Roman"/>
              </w:rPr>
              <w:t>Unaprjeđen informacijski sustav</w:t>
            </w:r>
          </w:p>
        </w:tc>
        <w:tc>
          <w:tcPr>
            <w:tcW w:w="2245" w:type="dxa"/>
          </w:tcPr>
          <w:p w:rsidR="00905089" w:rsidRDefault="00905089" w:rsidP="00AF2F06">
            <w:pPr>
              <w:pStyle w:val="CellColumn"/>
            </w:pPr>
            <w:r>
              <w:rPr>
                <w:rFonts w:cs="Times New Roman"/>
              </w:rPr>
              <w:t>Podrazumijeva izradu informacijskog sustava AZVO-a koji objedinjuje poslovne procese AZVO-a s ciljem povećanja poslovne učinkovitosti te unaprjeđenje informacijskog sustava podrške za provedbu vanjskih vrednovanja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0</w:t>
            </w:r>
          </w:p>
        </w:tc>
      </w:tr>
      <w:tr w:rsidR="00905089" w:rsidTr="00AF2F06">
        <w:trPr>
          <w:jc w:val="center"/>
        </w:trPr>
        <w:tc>
          <w:tcPr>
            <w:tcW w:w="2245" w:type="dxa"/>
          </w:tcPr>
          <w:p w:rsidR="00905089" w:rsidRDefault="00905089" w:rsidP="00AF2F06">
            <w:pPr>
              <w:pStyle w:val="CellColumn"/>
            </w:pPr>
            <w:r>
              <w:rPr>
                <w:rFonts w:cs="Times New Roman"/>
              </w:rPr>
              <w:t>Broj publikacija izrađenih s ciljem unaprjeđenja kvalitete</w:t>
            </w:r>
          </w:p>
        </w:tc>
        <w:tc>
          <w:tcPr>
            <w:tcW w:w="2245" w:type="dxa"/>
          </w:tcPr>
          <w:p w:rsidR="00905089" w:rsidRDefault="00905089" w:rsidP="00AF2F06">
            <w:pPr>
              <w:pStyle w:val="CellColumn"/>
            </w:pPr>
            <w:r>
              <w:rPr>
                <w:rFonts w:cs="Times New Roman"/>
              </w:rPr>
              <w:t>Publikacije su izrađene na temelju analize drugog ciklusa institucijske akreditacije, analize utjecaja postupaka vrednovanja, analize disciplinarnosti</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3</w:t>
            </w:r>
          </w:p>
        </w:tc>
        <w:tc>
          <w:tcPr>
            <w:tcW w:w="918" w:type="dxa"/>
          </w:tcPr>
          <w:p w:rsidR="00905089" w:rsidRDefault="00905089" w:rsidP="00AF2F06">
            <w:pPr>
              <w:pStyle w:val="CellColumn"/>
            </w:pPr>
            <w:r>
              <w:rPr>
                <w:rFonts w:cs="Times New Roman"/>
              </w:rPr>
              <w:t>1</w:t>
            </w:r>
          </w:p>
        </w:tc>
      </w:tr>
    </w:tbl>
    <w:p w:rsidR="00905089" w:rsidRDefault="00905089" w:rsidP="00905089">
      <w:pPr>
        <w:jc w:val="left"/>
      </w:pPr>
    </w:p>
    <w:p w:rsidR="00905089" w:rsidRDefault="00905089" w:rsidP="00905089">
      <w:pPr>
        <w:pStyle w:val="Heading4"/>
      </w:pPr>
      <w:r>
        <w:t>K867022 PROGRAM UČINKOVITI LJUDSKI POTENCIJALI 2021.-2027., PRIORITET 2 - OBRAZOVANJE I CJELOŽIVOTNO UČENJE</w:t>
      </w:r>
    </w:p>
    <w:p w:rsidR="00905089" w:rsidRDefault="00905089" w:rsidP="00905089">
      <w:pPr>
        <w:pStyle w:val="Heading8"/>
        <w:jc w:val="left"/>
      </w:pPr>
      <w:r>
        <w:t>Zakonske i druge pravne osnove</w:t>
      </w:r>
    </w:p>
    <w:p w:rsidR="00905089" w:rsidRDefault="00905089" w:rsidP="00905089">
      <w:pPr>
        <w:pStyle w:val="Normal5"/>
      </w:pPr>
      <w:r>
        <w:t>Zakon o osiguravanju kvalitete u visokom obrazovanju i znanosti te Zakon o visokom obrazovanju i znanstvenoj djelatnosti</w:t>
      </w:r>
    </w:p>
    <w:tbl>
      <w:tblPr>
        <w:tblStyle w:val="StilTablice"/>
        <w:tblW w:w="10206" w:type="dxa"/>
        <w:jc w:val="center"/>
        <w:tblLook w:val="04A0" w:firstRow="1" w:lastRow="0" w:firstColumn="1" w:lastColumn="0" w:noHBand="0" w:noVBand="1"/>
      </w:tblPr>
      <w:tblGrid>
        <w:gridCol w:w="1603"/>
        <w:gridCol w:w="1537"/>
        <w:gridCol w:w="1527"/>
        <w:gridCol w:w="1527"/>
        <w:gridCol w:w="1527"/>
        <w:gridCol w:w="1515"/>
        <w:gridCol w:w="970"/>
      </w:tblGrid>
      <w:tr w:rsidR="00905089" w:rsidTr="00AF2F06">
        <w:trPr>
          <w:jc w:val="center"/>
        </w:trPr>
        <w:tc>
          <w:tcPr>
            <w:tcW w:w="1530" w:type="dxa"/>
            <w:shd w:val="clear" w:color="auto" w:fill="B5C0D8"/>
          </w:tcPr>
          <w:p w:rsidR="00905089" w:rsidRDefault="00905089" w:rsidP="00AF2F06">
            <w:pPr>
              <w:pStyle w:val="CellHeader"/>
            </w:pPr>
            <w:r>
              <w:rPr>
                <w:rFonts w:cs="Times New Roman"/>
              </w:rPr>
              <w:t>Naziv aktivnosti</w:t>
            </w:r>
          </w:p>
        </w:tc>
        <w:tc>
          <w:tcPr>
            <w:tcW w:w="1632" w:type="dxa"/>
            <w:shd w:val="clear" w:color="auto" w:fill="B5C0D8"/>
          </w:tcPr>
          <w:p w:rsidR="00905089" w:rsidRDefault="00905089" w:rsidP="00AF2F06">
            <w:pPr>
              <w:pStyle w:val="CellHeader"/>
            </w:pPr>
            <w:r>
              <w:rPr>
                <w:rFonts w:cs="Times New Roman"/>
              </w:rPr>
              <w:t>Izvršenje 2024. (eur)</w:t>
            </w:r>
          </w:p>
        </w:tc>
        <w:tc>
          <w:tcPr>
            <w:tcW w:w="1632" w:type="dxa"/>
            <w:shd w:val="clear" w:color="auto" w:fill="B5C0D8"/>
          </w:tcPr>
          <w:p w:rsidR="00905089" w:rsidRDefault="00905089" w:rsidP="00AF2F06">
            <w:pPr>
              <w:pStyle w:val="CellHeader"/>
            </w:pPr>
            <w:r>
              <w:rPr>
                <w:rFonts w:cs="Times New Roman"/>
              </w:rPr>
              <w:t>Plan 2025. (eur)</w:t>
            </w:r>
          </w:p>
        </w:tc>
        <w:tc>
          <w:tcPr>
            <w:tcW w:w="1632" w:type="dxa"/>
            <w:shd w:val="clear" w:color="auto" w:fill="B5C0D8"/>
          </w:tcPr>
          <w:p w:rsidR="00905089" w:rsidRDefault="00905089" w:rsidP="00AF2F06">
            <w:pPr>
              <w:pStyle w:val="CellHeader"/>
            </w:pPr>
            <w:r>
              <w:rPr>
                <w:rFonts w:cs="Times New Roman"/>
              </w:rPr>
              <w:t>Plan 2026. (eur)</w:t>
            </w:r>
          </w:p>
        </w:tc>
        <w:tc>
          <w:tcPr>
            <w:tcW w:w="1632" w:type="dxa"/>
            <w:shd w:val="clear" w:color="auto" w:fill="B5C0D8"/>
          </w:tcPr>
          <w:p w:rsidR="00905089" w:rsidRDefault="00905089" w:rsidP="00AF2F06">
            <w:pPr>
              <w:pStyle w:val="CellHeader"/>
            </w:pPr>
            <w:r>
              <w:rPr>
                <w:rFonts w:cs="Times New Roman"/>
              </w:rPr>
              <w:t>Plan 2027. (eur)</w:t>
            </w:r>
          </w:p>
        </w:tc>
        <w:tc>
          <w:tcPr>
            <w:tcW w:w="1632" w:type="dxa"/>
            <w:shd w:val="clear" w:color="auto" w:fill="B5C0D8"/>
          </w:tcPr>
          <w:p w:rsidR="00905089" w:rsidRDefault="00905089" w:rsidP="00AF2F06">
            <w:pPr>
              <w:pStyle w:val="CellHeader"/>
            </w:pPr>
            <w:r>
              <w:rPr>
                <w:rFonts w:cs="Times New Roman"/>
              </w:rPr>
              <w:t>Plan 2028. (eur)</w:t>
            </w:r>
          </w:p>
        </w:tc>
        <w:tc>
          <w:tcPr>
            <w:tcW w:w="510" w:type="dxa"/>
            <w:shd w:val="clear" w:color="auto" w:fill="B5C0D8"/>
          </w:tcPr>
          <w:p w:rsidR="00905089" w:rsidRDefault="00905089" w:rsidP="00AF2F06">
            <w:pPr>
              <w:pStyle w:val="CellHeader"/>
            </w:pPr>
            <w:r>
              <w:rPr>
                <w:rFonts w:cs="Times New Roman"/>
              </w:rPr>
              <w:t>Indeks 2026/2025</w:t>
            </w:r>
          </w:p>
        </w:tc>
      </w:tr>
      <w:tr w:rsidR="00905089" w:rsidTr="00AF2F06">
        <w:trPr>
          <w:jc w:val="center"/>
        </w:trPr>
        <w:tc>
          <w:tcPr>
            <w:tcW w:w="1530" w:type="dxa"/>
          </w:tcPr>
          <w:p w:rsidR="00905089" w:rsidRDefault="00905089" w:rsidP="00AF2F06">
            <w:pPr>
              <w:pStyle w:val="CellColumn"/>
            </w:pPr>
            <w:r>
              <w:rPr>
                <w:rFonts w:cs="Times New Roman"/>
              </w:rPr>
              <w:t>K867022-PROGRAM UČINKOVITI LJUDSKI POTENCIJALI 2021.-2027., PRIORITET 2 - OBRAZOVANJE I CJELOŽIVOTNO UČENJE</w:t>
            </w:r>
          </w:p>
        </w:tc>
        <w:tc>
          <w:tcPr>
            <w:tcW w:w="1632" w:type="dxa"/>
          </w:tcPr>
          <w:p w:rsidR="00905089" w:rsidRDefault="00905089" w:rsidP="00AF2F06">
            <w:pPr>
              <w:pStyle w:val="CellColumn"/>
            </w:pPr>
            <w:r>
              <w:rPr>
                <w:rFonts w:cs="Times New Roman"/>
              </w:rPr>
              <w:t>5.157</w:t>
            </w:r>
          </w:p>
        </w:tc>
        <w:tc>
          <w:tcPr>
            <w:tcW w:w="1632" w:type="dxa"/>
          </w:tcPr>
          <w:p w:rsidR="00905089" w:rsidRDefault="00905089" w:rsidP="00AF2F06">
            <w:pPr>
              <w:pStyle w:val="CellColumn"/>
            </w:pPr>
            <w:r>
              <w:rPr>
                <w:rFonts w:cs="Times New Roman"/>
              </w:rPr>
              <w:t>108.581</w:t>
            </w:r>
          </w:p>
        </w:tc>
        <w:tc>
          <w:tcPr>
            <w:tcW w:w="1632" w:type="dxa"/>
          </w:tcPr>
          <w:p w:rsidR="00905089" w:rsidRDefault="00905089" w:rsidP="00AF2F06">
            <w:pPr>
              <w:pStyle w:val="CellColumn"/>
            </w:pPr>
            <w:r>
              <w:rPr>
                <w:rFonts w:cs="Times New Roman"/>
              </w:rPr>
              <w:t>142.943</w:t>
            </w:r>
          </w:p>
        </w:tc>
        <w:tc>
          <w:tcPr>
            <w:tcW w:w="1632" w:type="dxa"/>
          </w:tcPr>
          <w:p w:rsidR="00905089" w:rsidRDefault="00905089" w:rsidP="00AF2F06">
            <w:pPr>
              <w:pStyle w:val="CellColumn"/>
            </w:pPr>
            <w:r>
              <w:rPr>
                <w:rFonts w:cs="Times New Roman"/>
              </w:rPr>
              <w:t>105.604</w:t>
            </w:r>
          </w:p>
        </w:tc>
        <w:tc>
          <w:tcPr>
            <w:tcW w:w="1632" w:type="dxa"/>
          </w:tcPr>
          <w:p w:rsidR="00905089" w:rsidRDefault="00905089" w:rsidP="00AF2F06">
            <w:pPr>
              <w:pStyle w:val="CellColumn"/>
            </w:pPr>
            <w:r>
              <w:rPr>
                <w:rFonts w:cs="Times New Roman"/>
              </w:rPr>
              <w:t>19.195</w:t>
            </w:r>
          </w:p>
        </w:tc>
        <w:tc>
          <w:tcPr>
            <w:tcW w:w="510" w:type="dxa"/>
          </w:tcPr>
          <w:p w:rsidR="00905089" w:rsidRDefault="00905089" w:rsidP="00AF2F06">
            <w:pPr>
              <w:pStyle w:val="CellColumn"/>
            </w:pPr>
            <w:r>
              <w:rPr>
                <w:rFonts w:cs="Times New Roman"/>
              </w:rPr>
              <w:t>131,6</w:t>
            </w:r>
          </w:p>
        </w:tc>
      </w:tr>
    </w:tbl>
    <w:p w:rsidR="00905089" w:rsidRDefault="00905089" w:rsidP="00905089">
      <w:pPr>
        <w:jc w:val="left"/>
      </w:pPr>
    </w:p>
    <w:p w:rsidR="00905089" w:rsidRDefault="00905089" w:rsidP="00905089">
      <w:r>
        <w:lastRenderedPageBreak/>
        <w:t xml:space="preserve">Cilj projekta je promicanje jednakog pristupa kvalitetnom i uključivom obrazovanju i osposobljavanju te njegova završetka, posebice kad je riječ o skupinama u nepovoljnom položaju, od ranog i predškolskog odgoja i obrazovanja preko općeg i strukovnog obrazovanja i osposobljavanja do tercijarnog obrazovanja, kao i obrazovanja i učenja odraslih, uključujući olakšavanje mobilnosti u svrhu učenja za sve i pristupačnosti osobama s invaliditetom. AZVO sudjeluje u projektu zajedno s CARNET-om, MZOM-om, Središnjim državnim uredom za razvoj digitalnog društva i Sveučilišnim računskim centrom (Srce).   </w:t>
      </w:r>
    </w:p>
    <w:p w:rsidR="00905089" w:rsidRDefault="00905089" w:rsidP="00905089">
      <w:r>
        <w:t xml:space="preserve">Proces upisa na visoka učilišta u RH već sada je informatiziran, ali kako bi bio dugoročno održiv, AZVO u sklopu projekta planira izvršiti cjelovitu rekonstrukciju postojećeg NISpVU2 sustava s ciljem postizanja pune funkcionalnosti. Sustav koji se planira nadograditi trenutačno je u funkciji za centralnu prijavu na diplomske studijske programe (https://diplomski.studij.hr/). U svrhu neometanog nastavka procesa centralne prijave na prijediplomske i integrirane prijediplomske i diplomske studijske programe i ispunjavanja uvjeta za upise na visoka učilišta u RH potrebno ga je unaprijediti, u skladu sa suvremenom arhitekturom i dizajnom te s neophodnim funkcionalnostima koje trenutno nisu dostupne. Planirano je dodavanje novih funkcionalnosti (npr. Prikaz dostupnih studija nakon izbora ispita državne mature) te performansna i ostala testiranja sustava. Iznimno je važno novi sustav u cijelosti povezati s ostalim nacionalnim servisima/sustavima koji su nužni za pravilno funkcioniranje prijava i generiranje rang lista za upise na visoka učilišta, kao što su: e-Matica 2, Središnji registar državne mature (SRDM), Informacijski sustav visokih učilišta (ISVU) te OIB sustav.    </w:t>
      </w:r>
    </w:p>
    <w:p w:rsidR="00905089" w:rsidRDefault="00905089" w:rsidP="00905089">
      <w:r>
        <w:t xml:space="preserve">Dosadašnja praksa unosa podataka o rezultatima natjecanja, kategorizacija sportaša te prava prednosti pri upisu pokazala je neophodnu potrebu za digitalizacijom i povezivanjem različitih baza podataka i registara (AZOO i ASOO natjecanja, Hrvatski olimpijski odbor, Registar osoba s invaliditetom HZJZ, Upisnik studijskih programa, Upisnik visokih učilišta) kako bi se olakšao i ubrzao proces evidencije podataka o kandidatima i studijskim programima, a samim time i smanjila mogućnost pogreške. Krajnjim korisnicima sustava takvo će povezivanje baza podataka omogućiti jednostavniji i brži upis na željeno visoko učilište, a svim drugim dionicima u procesu će smanjiti nepotrebne administrativne poslove korištenjem već postojećih podataka u navedenim bazama, što kao posljedicu ima ukupno smanjenje troškova prijava.   </w:t>
      </w:r>
    </w:p>
    <w:p w:rsidR="00905089" w:rsidRDefault="00905089" w:rsidP="00905089">
      <w:r>
        <w:t xml:space="preserve">S ciljem unaprjeđenja načina prijava studijskih programa potrebno je ugraditi slijedeće funkcionalnosti na korisničkom sučelju u NISpVU2: prikaz studijskih programa koje je moguće prijaviti s već položenim/prijavljenim ispitima državne mature; ažuran prikaz prijavljenih ispita državne mature, prikaz obavijesti o nemogućnosti prijave pojedinih studijskih programa za koji nije prijavljen potreban ispit državne mature sukladno uvjetima visokog učilišta. Navedene funkcionalnosti bi omogućile krajnjim korisnicima bolju preglednost i dale bi potrebne informacije za prijavu studijskih programa. Potrebne su i nadogradnje administrativnog sučelja, dodavanje analitičkog izvještajnog sustava te testiranje sustava prije produkcije.    </w:t>
      </w:r>
    </w:p>
    <w:p w:rsidR="00905089" w:rsidRDefault="00905089" w:rsidP="00905089">
      <w:r>
        <w:t xml:space="preserve">U sklopu projekta planira se i razvoj nove i unaprijeđene on-line aplikacije za usporedbu studija koja će pomoći maturantima, tj. budućim studentima da po određenim izabranim kriterijima uspoređuju sve postojeće preddiplomske i integrirane preddiplomske i diplomske studijske programe u Hrvatskoj i na taj način si olakšaju odluku gdje i što studirati što može doprinijeti smanjenju broja studenata koji odustaju od upisanog studija.   </w:t>
      </w:r>
    </w:p>
    <w:p w:rsidR="00905089" w:rsidRDefault="00905089" w:rsidP="00905089">
      <w:r>
        <w:t xml:space="preserve">Na plaće djelatnika Agencije za znanost i visoko obrazovanje angažiranih na projektnim aktivnostima u okviru ovog elementa planirana su sredstva za 2026. godinu.  </w:t>
      </w:r>
    </w:p>
    <w:p w:rsidR="00905089" w:rsidRDefault="00905089" w:rsidP="00905089">
      <w:r>
        <w:t xml:space="preserve">Zbog uvođenja novog sustava potrebno je educirati djelatnike srednjih škola koji sudjeluju u procesu te educirati same maturante i ostale zainteresirane kandidate o postupku prijave. U sklopu projekta, planiraju se izvršiti edukacije koje će nadležna tijela izvršiti samostalno s već postojećim kapacitetima. U svrhu digitalizacije i manjeg troška, većina edukacija planira se održati online.  </w:t>
      </w:r>
    </w:p>
    <w:p w:rsidR="00905089" w:rsidRDefault="00905089" w:rsidP="00905089">
      <w:r>
        <w:t xml:space="preserve">U 2026. godini planirani su i troškovi stručnog usavršavanja zaposlenika Agencije te službenih putovanja.Stavka obuhvaća troškove kotizacija, prijevoza, cestarina, goriva, te troškove noćenja i dnevnica i ostalih troškova vezanih uz službena putovanja te sudjelovanje članova projektnog tima na stručnim konferencijama i skupovima radi prikupljanja i analiziranja primjera dobre prakse te promocije projektnih rezultata. Kako bi se osiguralo da članovi projektnog tima budu kontinuirano u tijeku s </w:t>
      </w:r>
      <w:r>
        <w:lastRenderedPageBreak/>
        <w:t xml:space="preserve">trendovima u industriji te novitetima na tržištu pružanja javnih e-usluga, predviđen je njihov odlazak na  stručne skupove/konferencije.   </w:t>
      </w:r>
    </w:p>
    <w:p w:rsidR="00905089" w:rsidRDefault="00905089" w:rsidP="00905089">
      <w:r>
        <w:t>Ostali materijalni rashodi planirani za 2026. godinu obuhvaćaju troškove usluga promidžbe i informiranja, troškove uredskog materijala, uredske opreme i namještaja i troškove reprezentacije.</w:t>
      </w:r>
    </w:p>
    <w:p w:rsidR="00905089" w:rsidRDefault="00905089" w:rsidP="00905089">
      <w:pPr>
        <w:pStyle w:val="Heading8"/>
        <w:jc w:val="left"/>
      </w:pPr>
      <w:r>
        <w:t>Pokazatelji rezultata</w:t>
      </w:r>
    </w:p>
    <w:tbl>
      <w:tblPr>
        <w:tblStyle w:val="StilTablice"/>
        <w:tblW w:w="10206" w:type="dxa"/>
        <w:jc w:val="center"/>
        <w:tblLook w:val="04A0" w:firstRow="1" w:lastRow="0" w:firstColumn="1" w:lastColumn="0" w:noHBand="0" w:noVBand="1"/>
      </w:tblPr>
      <w:tblGrid>
        <w:gridCol w:w="2020"/>
        <w:gridCol w:w="2121"/>
        <w:gridCol w:w="1523"/>
        <w:gridCol w:w="916"/>
        <w:gridCol w:w="878"/>
        <w:gridCol w:w="916"/>
        <w:gridCol w:w="916"/>
        <w:gridCol w:w="916"/>
      </w:tblGrid>
      <w:tr w:rsidR="00905089" w:rsidTr="00AF2F06">
        <w:trPr>
          <w:jc w:val="center"/>
        </w:trPr>
        <w:tc>
          <w:tcPr>
            <w:tcW w:w="2245" w:type="dxa"/>
            <w:shd w:val="clear" w:color="auto" w:fill="B5C0D8"/>
          </w:tcPr>
          <w:p w:rsidR="00905089" w:rsidRDefault="00905089" w:rsidP="00AF2F06">
            <w:r>
              <w:t>Pokazatelj rezultata</w:t>
            </w:r>
          </w:p>
        </w:tc>
        <w:tc>
          <w:tcPr>
            <w:tcW w:w="2245" w:type="dxa"/>
            <w:shd w:val="clear" w:color="auto" w:fill="B5C0D8"/>
          </w:tcPr>
          <w:p w:rsidR="00905089" w:rsidRDefault="00905089" w:rsidP="00AF2F06">
            <w:pPr>
              <w:pStyle w:val="CellHeader"/>
            </w:pPr>
            <w:r>
              <w:rPr>
                <w:rFonts w:cs="Times New Roman"/>
              </w:rPr>
              <w:t>Definicija</w:t>
            </w:r>
          </w:p>
        </w:tc>
        <w:tc>
          <w:tcPr>
            <w:tcW w:w="2245" w:type="dxa"/>
            <w:shd w:val="clear" w:color="auto" w:fill="B5C0D8"/>
          </w:tcPr>
          <w:p w:rsidR="00905089" w:rsidRDefault="00905089" w:rsidP="00AF2F06">
            <w:pPr>
              <w:pStyle w:val="CellHeader"/>
            </w:pPr>
            <w:r>
              <w:rPr>
                <w:rFonts w:cs="Times New Roman"/>
              </w:rPr>
              <w:t>Jedinica</w:t>
            </w:r>
          </w:p>
        </w:tc>
        <w:tc>
          <w:tcPr>
            <w:tcW w:w="918" w:type="dxa"/>
            <w:shd w:val="clear" w:color="auto" w:fill="B5C0D8"/>
          </w:tcPr>
          <w:p w:rsidR="00905089" w:rsidRDefault="00905089" w:rsidP="00AF2F06">
            <w:pPr>
              <w:pStyle w:val="CellHeader"/>
            </w:pPr>
            <w:r>
              <w:rPr>
                <w:rFonts w:cs="Times New Roman"/>
              </w:rPr>
              <w:t>Polazna vrijednost</w:t>
            </w:r>
          </w:p>
        </w:tc>
        <w:tc>
          <w:tcPr>
            <w:tcW w:w="918" w:type="dxa"/>
            <w:shd w:val="clear" w:color="auto" w:fill="B5C0D8"/>
          </w:tcPr>
          <w:p w:rsidR="00905089" w:rsidRDefault="00905089" w:rsidP="00AF2F06">
            <w:pPr>
              <w:pStyle w:val="CellHeader"/>
            </w:pPr>
            <w:r>
              <w:rPr>
                <w:rFonts w:cs="Times New Roman"/>
              </w:rPr>
              <w:t>Izvor podataka</w:t>
            </w:r>
          </w:p>
        </w:tc>
        <w:tc>
          <w:tcPr>
            <w:tcW w:w="918" w:type="dxa"/>
            <w:shd w:val="clear" w:color="auto" w:fill="B5C0D8"/>
          </w:tcPr>
          <w:p w:rsidR="00905089" w:rsidRDefault="00905089" w:rsidP="00AF2F06">
            <w:pPr>
              <w:pStyle w:val="CellHeader"/>
            </w:pPr>
            <w:r>
              <w:rPr>
                <w:rFonts w:cs="Times New Roman"/>
              </w:rPr>
              <w:t>Ciljana vrijednost (2026.)</w:t>
            </w:r>
          </w:p>
        </w:tc>
        <w:tc>
          <w:tcPr>
            <w:tcW w:w="918" w:type="dxa"/>
            <w:shd w:val="clear" w:color="auto" w:fill="B5C0D8"/>
          </w:tcPr>
          <w:p w:rsidR="00905089" w:rsidRDefault="00905089" w:rsidP="00AF2F06">
            <w:pPr>
              <w:pStyle w:val="CellHeader"/>
            </w:pPr>
            <w:r>
              <w:rPr>
                <w:rFonts w:cs="Times New Roman"/>
              </w:rPr>
              <w:t>Ciljana vrijednost (2027.)</w:t>
            </w:r>
          </w:p>
        </w:tc>
        <w:tc>
          <w:tcPr>
            <w:tcW w:w="918" w:type="dxa"/>
            <w:shd w:val="clear" w:color="auto" w:fill="B5C0D8"/>
          </w:tcPr>
          <w:p w:rsidR="00905089" w:rsidRDefault="00905089" w:rsidP="00AF2F06">
            <w:pPr>
              <w:pStyle w:val="CellHeader"/>
            </w:pPr>
            <w:r>
              <w:rPr>
                <w:rFonts w:cs="Times New Roman"/>
              </w:rPr>
              <w:t>Ciljana vrijednost (2028.)</w:t>
            </w:r>
          </w:p>
        </w:tc>
      </w:tr>
      <w:tr w:rsidR="00905089" w:rsidTr="00AF2F06">
        <w:trPr>
          <w:jc w:val="center"/>
        </w:trPr>
        <w:tc>
          <w:tcPr>
            <w:tcW w:w="2245" w:type="dxa"/>
          </w:tcPr>
          <w:p w:rsidR="00905089" w:rsidRDefault="00905089" w:rsidP="00AF2F06">
            <w:pPr>
              <w:pStyle w:val="CellColumn"/>
            </w:pPr>
            <w:r>
              <w:rPr>
                <w:rFonts w:cs="Times New Roman"/>
              </w:rPr>
              <w:t>Nadogradnja novih funkcionalnosti u NISpVU2 i povezivanje s ostalim nacionalnim sustavima/servisima, te bazama podataka</w:t>
            </w:r>
          </w:p>
        </w:tc>
        <w:tc>
          <w:tcPr>
            <w:tcW w:w="2245" w:type="dxa"/>
          </w:tcPr>
          <w:p w:rsidR="00905089" w:rsidRDefault="00905089" w:rsidP="00AF2F06">
            <w:pPr>
              <w:pStyle w:val="CellColumn"/>
            </w:pPr>
            <w:r>
              <w:rPr>
                <w:rFonts w:cs="Times New Roman"/>
              </w:rPr>
              <w:t>Podrazumijeva dodavanje novih funkcionalnosti (prikaz studijskih programa koje je moguće prijaviti s već položenim/prijavljenim ispitima državne mature; ažuran prikaz prijavljenih ispita državne mature, prikaz obavijesti o nemogućnosti prijave pojedinih studijskih programa za koji nije prijavljen potreban ispit državne mature sukladno uvjetima visokog učilišta), povezivanje sa e-Maticom, Središnji registar državne mature (SRDM), Informacijski sustav visokih učilišta (ISVU) te OIB sustavom kao i bazama i registrima (AZOO i ASOO natjecanja, Hrvatski olimpijski odbor, Registar osoba s invaliditetom HZJZ, Upisnik studijskih programa, Upisnik visokih učilišta)</w:t>
            </w:r>
          </w:p>
        </w:tc>
        <w:tc>
          <w:tcPr>
            <w:tcW w:w="918" w:type="dxa"/>
          </w:tcPr>
          <w:p w:rsidR="00905089" w:rsidRDefault="00905089" w:rsidP="00AF2F06">
            <w:pPr>
              <w:pStyle w:val="CellColumn"/>
            </w:pPr>
            <w:r>
              <w:rPr>
                <w:rFonts w:cs="Times New Roman"/>
              </w:rPr>
              <w:t>%</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50</w:t>
            </w:r>
          </w:p>
        </w:tc>
        <w:tc>
          <w:tcPr>
            <w:tcW w:w="918" w:type="dxa"/>
          </w:tcPr>
          <w:p w:rsidR="00905089" w:rsidRDefault="00905089" w:rsidP="00AF2F06">
            <w:pPr>
              <w:pStyle w:val="CellColumn"/>
            </w:pPr>
            <w:r>
              <w:rPr>
                <w:rFonts w:cs="Times New Roman"/>
              </w:rPr>
              <w:t>75</w:t>
            </w:r>
          </w:p>
        </w:tc>
        <w:tc>
          <w:tcPr>
            <w:tcW w:w="918" w:type="dxa"/>
          </w:tcPr>
          <w:p w:rsidR="00905089" w:rsidRDefault="00905089" w:rsidP="00AF2F06">
            <w:pPr>
              <w:pStyle w:val="CellColumn"/>
            </w:pPr>
            <w:r>
              <w:rPr>
                <w:rFonts w:cs="Times New Roman"/>
              </w:rPr>
              <w:t>100</w:t>
            </w:r>
          </w:p>
        </w:tc>
      </w:tr>
      <w:tr w:rsidR="00905089" w:rsidTr="00AF2F06">
        <w:trPr>
          <w:jc w:val="center"/>
        </w:trPr>
        <w:tc>
          <w:tcPr>
            <w:tcW w:w="2245" w:type="dxa"/>
          </w:tcPr>
          <w:p w:rsidR="00905089" w:rsidRDefault="00905089" w:rsidP="00AF2F06">
            <w:pPr>
              <w:pStyle w:val="CellColumn"/>
            </w:pPr>
            <w:r>
              <w:rPr>
                <w:rFonts w:cs="Times New Roman"/>
              </w:rPr>
              <w:t>Aplikacija za usporedbu studija</w:t>
            </w:r>
          </w:p>
        </w:tc>
        <w:tc>
          <w:tcPr>
            <w:tcW w:w="2245" w:type="dxa"/>
          </w:tcPr>
          <w:p w:rsidR="00905089" w:rsidRDefault="00905089" w:rsidP="00AF2F06">
            <w:pPr>
              <w:pStyle w:val="CellColumn"/>
            </w:pPr>
            <w:r>
              <w:rPr>
                <w:rFonts w:cs="Times New Roman"/>
              </w:rPr>
              <w:t>Razvoj nove i unaprijeđene on-line aplikacije za usporedbu studija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1</w:t>
            </w:r>
          </w:p>
        </w:tc>
        <w:tc>
          <w:tcPr>
            <w:tcW w:w="918" w:type="dxa"/>
          </w:tcPr>
          <w:p w:rsidR="00905089" w:rsidRDefault="00905089" w:rsidP="00AF2F06">
            <w:pPr>
              <w:pStyle w:val="CellColumn"/>
            </w:pPr>
            <w:r>
              <w:rPr>
                <w:rFonts w:cs="Times New Roman"/>
              </w:rPr>
              <w:t>1</w:t>
            </w:r>
          </w:p>
        </w:tc>
      </w:tr>
      <w:tr w:rsidR="00905089" w:rsidTr="00AF2F06">
        <w:trPr>
          <w:jc w:val="center"/>
        </w:trPr>
        <w:tc>
          <w:tcPr>
            <w:tcW w:w="2245" w:type="dxa"/>
          </w:tcPr>
          <w:p w:rsidR="00905089" w:rsidRDefault="00905089" w:rsidP="00AF2F06">
            <w:pPr>
              <w:pStyle w:val="CellColumn"/>
            </w:pPr>
            <w:r>
              <w:rPr>
                <w:rFonts w:cs="Times New Roman"/>
              </w:rPr>
              <w:t>Broj održanih edukacija</w:t>
            </w:r>
          </w:p>
        </w:tc>
        <w:tc>
          <w:tcPr>
            <w:tcW w:w="2245" w:type="dxa"/>
          </w:tcPr>
          <w:p w:rsidR="00905089" w:rsidRDefault="00905089" w:rsidP="00AF2F06">
            <w:pPr>
              <w:pStyle w:val="CellColumn"/>
            </w:pPr>
            <w:r>
              <w:rPr>
                <w:rFonts w:cs="Times New Roman"/>
              </w:rPr>
              <w:t>Edukacije podrazumijevaju edukacije djelatnika VU-a i srednjih škola</w:t>
            </w:r>
          </w:p>
        </w:tc>
        <w:tc>
          <w:tcPr>
            <w:tcW w:w="918" w:type="dxa"/>
          </w:tcPr>
          <w:p w:rsidR="00905089" w:rsidRDefault="00905089" w:rsidP="00AF2F06">
            <w:pPr>
              <w:pStyle w:val="CellColumn"/>
            </w:pPr>
            <w:r>
              <w:rPr>
                <w:rFonts w:cs="Times New Roman"/>
              </w:rPr>
              <w:t>Broj</w:t>
            </w:r>
          </w:p>
        </w:tc>
        <w:tc>
          <w:tcPr>
            <w:tcW w:w="918" w:type="dxa"/>
          </w:tcPr>
          <w:p w:rsidR="00905089" w:rsidRDefault="00905089" w:rsidP="00AF2F06">
            <w:pPr>
              <w:pStyle w:val="CellColumn"/>
            </w:pPr>
            <w:r>
              <w:rPr>
                <w:rFonts w:cs="Times New Roman"/>
              </w:rPr>
              <w:t>0</w:t>
            </w:r>
          </w:p>
        </w:tc>
        <w:tc>
          <w:tcPr>
            <w:tcW w:w="918" w:type="dxa"/>
          </w:tcPr>
          <w:p w:rsidR="00905089" w:rsidRDefault="00905089" w:rsidP="00AF2F06">
            <w:pPr>
              <w:pStyle w:val="CellColumn"/>
            </w:pPr>
            <w:r>
              <w:rPr>
                <w:rFonts w:cs="Times New Roman"/>
              </w:rPr>
              <w:t>AZVO</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2</w:t>
            </w:r>
          </w:p>
        </w:tc>
        <w:tc>
          <w:tcPr>
            <w:tcW w:w="918" w:type="dxa"/>
          </w:tcPr>
          <w:p w:rsidR="00905089" w:rsidRDefault="00905089" w:rsidP="00AF2F06">
            <w:pPr>
              <w:pStyle w:val="CellColumn"/>
            </w:pPr>
            <w:r>
              <w:rPr>
                <w:rFonts w:cs="Times New Roman"/>
              </w:rPr>
              <w:t>1</w:t>
            </w:r>
          </w:p>
        </w:tc>
      </w:tr>
    </w:tbl>
    <w:p w:rsidR="00905089" w:rsidRDefault="00905089" w:rsidP="00905089">
      <w:pPr>
        <w:jc w:val="left"/>
      </w:pPr>
    </w:p>
    <w:p w:rsidR="004E366A" w:rsidRDefault="004E366A">
      <w:bookmarkStart w:id="0" w:name="_GoBack"/>
      <w:bookmarkEnd w:id="0"/>
    </w:p>
    <w:sectPr w:rsidR="004E366A" w:rsidSect="00905089">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089"/>
    <w:rsid w:val="000B1EDB"/>
    <w:rsid w:val="00126C04"/>
    <w:rsid w:val="001D2524"/>
    <w:rsid w:val="00354EB5"/>
    <w:rsid w:val="003D6B2D"/>
    <w:rsid w:val="004E366A"/>
    <w:rsid w:val="005A250E"/>
    <w:rsid w:val="00687D6C"/>
    <w:rsid w:val="00743E5E"/>
    <w:rsid w:val="0077702A"/>
    <w:rsid w:val="00905089"/>
    <w:rsid w:val="00A828E7"/>
    <w:rsid w:val="00C975CC"/>
    <w:rsid w:val="00D22514"/>
    <w:rsid w:val="00FA42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A71C90-DC34-4288-A40B-6D16453DC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5089"/>
    <w:pPr>
      <w:overflowPunct w:val="0"/>
      <w:autoSpaceDE w:val="0"/>
      <w:autoSpaceDN w:val="0"/>
      <w:adjustRightInd w:val="0"/>
      <w:spacing w:after="120" w:line="240" w:lineRule="auto"/>
      <w:jc w:val="both"/>
      <w:textAlignment w:val="baseline"/>
    </w:pPr>
    <w:rPr>
      <w:rFonts w:ascii="Times New Roman" w:eastAsia="Times New Roman" w:hAnsi="Times New Roman" w:cs="Times New Roman"/>
      <w:szCs w:val="20"/>
      <w:lang w:val="sl-SI"/>
    </w:rPr>
  </w:style>
  <w:style w:type="paragraph" w:styleId="Heading1">
    <w:name w:val="heading 1"/>
    <w:basedOn w:val="Normal"/>
    <w:next w:val="Normal"/>
    <w:link w:val="Heading1Char"/>
    <w:qFormat/>
    <w:rsid w:val="00905089"/>
    <w:pPr>
      <w:keepNext/>
      <w:keepLines/>
      <w:pBdr>
        <w:top w:val="single" w:sz="4" w:space="1" w:color="auto"/>
        <w:bottom w:val="single" w:sz="4" w:space="1" w:color="auto"/>
      </w:pBdr>
      <w:shd w:val="clear" w:color="auto" w:fill="E6E6E6"/>
      <w:jc w:val="left"/>
      <w:outlineLvl w:val="0"/>
    </w:pPr>
    <w:rPr>
      <w:b/>
      <w:spacing w:val="20"/>
      <w:sz w:val="32"/>
      <w:szCs w:val="32"/>
    </w:rPr>
  </w:style>
  <w:style w:type="paragraph" w:styleId="Heading2">
    <w:name w:val="heading 2"/>
    <w:basedOn w:val="Normal"/>
    <w:next w:val="Normal"/>
    <w:link w:val="Heading2Char"/>
    <w:qFormat/>
    <w:rsid w:val="00905089"/>
    <w:pPr>
      <w:keepNext/>
      <w:keepLines/>
      <w:pBdr>
        <w:top w:val="single" w:sz="4" w:space="1" w:color="auto"/>
        <w:bottom w:val="single" w:sz="4" w:space="1" w:color="auto"/>
      </w:pBdr>
      <w:shd w:val="clear" w:color="auto" w:fill="E6E6E6"/>
      <w:jc w:val="left"/>
      <w:outlineLvl w:val="1"/>
    </w:pPr>
    <w:rPr>
      <w:b/>
      <w:spacing w:val="20"/>
      <w:sz w:val="30"/>
      <w:szCs w:val="30"/>
    </w:rPr>
  </w:style>
  <w:style w:type="paragraph" w:styleId="Heading3">
    <w:name w:val="heading 3"/>
    <w:basedOn w:val="Normal"/>
    <w:next w:val="Normal"/>
    <w:link w:val="Heading3Char"/>
    <w:qFormat/>
    <w:rsid w:val="00905089"/>
    <w:pPr>
      <w:keepNext/>
      <w:keepLines/>
      <w:pBdr>
        <w:top w:val="single" w:sz="4" w:space="1" w:color="auto"/>
        <w:bottom w:val="single" w:sz="4" w:space="1" w:color="auto"/>
      </w:pBdr>
      <w:shd w:val="clear" w:color="auto" w:fill="E6E6E6"/>
      <w:overflowPunct/>
      <w:autoSpaceDE/>
      <w:autoSpaceDN/>
      <w:adjustRightInd/>
      <w:spacing w:line="288" w:lineRule="auto"/>
      <w:jc w:val="left"/>
      <w:textAlignment w:val="auto"/>
      <w:outlineLvl w:val="2"/>
    </w:pPr>
    <w:rPr>
      <w:rFonts w:cs="Arial"/>
      <w:b/>
      <w:iCs/>
      <w:spacing w:val="20"/>
      <w:sz w:val="28"/>
      <w:szCs w:val="28"/>
    </w:rPr>
  </w:style>
  <w:style w:type="paragraph" w:styleId="Heading4">
    <w:name w:val="heading 4"/>
    <w:basedOn w:val="Normal"/>
    <w:next w:val="Normal"/>
    <w:link w:val="Heading4Char"/>
    <w:qFormat/>
    <w:rsid w:val="00905089"/>
    <w:pPr>
      <w:keepNext/>
      <w:keepLines/>
      <w:pBdr>
        <w:top w:val="single" w:sz="4" w:space="1" w:color="auto"/>
        <w:bottom w:val="single" w:sz="4" w:space="1" w:color="auto"/>
      </w:pBdr>
      <w:overflowPunct/>
      <w:autoSpaceDE/>
      <w:autoSpaceDN/>
      <w:adjustRightInd/>
      <w:jc w:val="left"/>
      <w:textAlignment w:val="auto"/>
      <w:outlineLvl w:val="3"/>
    </w:pPr>
    <w:rPr>
      <w:b/>
      <w:bCs/>
      <w:sz w:val="28"/>
      <w:szCs w:val="28"/>
    </w:rPr>
  </w:style>
  <w:style w:type="paragraph" w:styleId="Heading5">
    <w:name w:val="heading 5"/>
    <w:basedOn w:val="Normal"/>
    <w:next w:val="Normal"/>
    <w:link w:val="Heading5Char"/>
    <w:qFormat/>
    <w:rsid w:val="00905089"/>
    <w:pPr>
      <w:keepNext/>
      <w:keepLines/>
      <w:jc w:val="left"/>
      <w:outlineLvl w:val="4"/>
    </w:pPr>
    <w:rPr>
      <w:b/>
      <w:sz w:val="26"/>
      <w:szCs w:val="26"/>
    </w:rPr>
  </w:style>
  <w:style w:type="paragraph" w:styleId="Heading6">
    <w:name w:val="heading 6"/>
    <w:basedOn w:val="Normal"/>
    <w:next w:val="Normal"/>
    <w:link w:val="Heading6Char"/>
    <w:qFormat/>
    <w:rsid w:val="00905089"/>
    <w:pPr>
      <w:keepNext/>
      <w:keepLines/>
      <w:jc w:val="left"/>
      <w:outlineLvl w:val="5"/>
    </w:pPr>
    <w:rPr>
      <w:b/>
      <w:sz w:val="24"/>
      <w:szCs w:val="24"/>
    </w:rPr>
  </w:style>
  <w:style w:type="paragraph" w:styleId="Heading7">
    <w:name w:val="heading 7"/>
    <w:basedOn w:val="Normal"/>
    <w:next w:val="Normal"/>
    <w:link w:val="Heading7Char"/>
    <w:qFormat/>
    <w:rsid w:val="00905089"/>
    <w:pPr>
      <w:keepNext/>
      <w:jc w:val="left"/>
      <w:outlineLvl w:val="6"/>
    </w:pPr>
    <w:rPr>
      <w:b/>
      <w:spacing w:val="24"/>
      <w:szCs w:val="22"/>
    </w:rPr>
  </w:style>
  <w:style w:type="paragraph" w:styleId="Heading8">
    <w:name w:val="heading 8"/>
    <w:basedOn w:val="Normal6"/>
    <w:next w:val="Normal"/>
    <w:link w:val="Heading8Char"/>
    <w:uiPriority w:val="9"/>
    <w:unhideWhenUsed/>
    <w:qFormat/>
    <w:rsid w:val="00905089"/>
    <w:pPr>
      <w:keepNext/>
      <w:keepLines/>
      <w:ind w:left="0"/>
      <w:outlineLvl w:val="7"/>
    </w:pPr>
    <w:rPr>
      <w:b/>
    </w:rPr>
  </w:style>
  <w:style w:type="paragraph" w:styleId="Heading9">
    <w:name w:val="heading 9"/>
    <w:basedOn w:val="Normal"/>
    <w:next w:val="Normal"/>
    <w:link w:val="Heading9Char"/>
    <w:uiPriority w:val="9"/>
    <w:unhideWhenUsed/>
    <w:qFormat/>
    <w:rsid w:val="00905089"/>
    <w:pPr>
      <w:keepNext/>
      <w:keepLines/>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05089"/>
    <w:rPr>
      <w:rFonts w:ascii="Times New Roman" w:eastAsia="Times New Roman" w:hAnsi="Times New Roman" w:cs="Times New Roman"/>
      <w:b/>
      <w:spacing w:val="20"/>
      <w:sz w:val="32"/>
      <w:szCs w:val="32"/>
      <w:shd w:val="clear" w:color="auto" w:fill="E6E6E6"/>
      <w:lang w:val="sl-SI"/>
    </w:rPr>
  </w:style>
  <w:style w:type="character" w:customStyle="1" w:styleId="Heading2Char">
    <w:name w:val="Heading 2 Char"/>
    <w:basedOn w:val="DefaultParagraphFont"/>
    <w:link w:val="Heading2"/>
    <w:rsid w:val="00905089"/>
    <w:rPr>
      <w:rFonts w:ascii="Times New Roman" w:eastAsia="Times New Roman" w:hAnsi="Times New Roman" w:cs="Times New Roman"/>
      <w:b/>
      <w:spacing w:val="20"/>
      <w:sz w:val="30"/>
      <w:szCs w:val="30"/>
      <w:shd w:val="clear" w:color="auto" w:fill="E6E6E6"/>
      <w:lang w:val="sl-SI"/>
    </w:rPr>
  </w:style>
  <w:style w:type="character" w:customStyle="1" w:styleId="Heading3Char">
    <w:name w:val="Heading 3 Char"/>
    <w:basedOn w:val="DefaultParagraphFont"/>
    <w:link w:val="Heading3"/>
    <w:rsid w:val="00905089"/>
    <w:rPr>
      <w:rFonts w:ascii="Times New Roman" w:eastAsia="Times New Roman" w:hAnsi="Times New Roman" w:cs="Arial"/>
      <w:b/>
      <w:iCs/>
      <w:spacing w:val="20"/>
      <w:sz w:val="28"/>
      <w:szCs w:val="28"/>
      <w:shd w:val="clear" w:color="auto" w:fill="E6E6E6"/>
      <w:lang w:val="sl-SI"/>
    </w:rPr>
  </w:style>
  <w:style w:type="character" w:customStyle="1" w:styleId="Heading4Char">
    <w:name w:val="Heading 4 Char"/>
    <w:basedOn w:val="DefaultParagraphFont"/>
    <w:link w:val="Heading4"/>
    <w:rsid w:val="00905089"/>
    <w:rPr>
      <w:rFonts w:ascii="Times New Roman" w:eastAsia="Times New Roman" w:hAnsi="Times New Roman" w:cs="Times New Roman"/>
      <w:b/>
      <w:bCs/>
      <w:sz w:val="28"/>
      <w:szCs w:val="28"/>
      <w:lang w:val="sl-SI"/>
    </w:rPr>
  </w:style>
  <w:style w:type="character" w:customStyle="1" w:styleId="Heading5Char">
    <w:name w:val="Heading 5 Char"/>
    <w:basedOn w:val="DefaultParagraphFont"/>
    <w:link w:val="Heading5"/>
    <w:rsid w:val="00905089"/>
    <w:rPr>
      <w:rFonts w:ascii="Times New Roman" w:eastAsia="Times New Roman" w:hAnsi="Times New Roman" w:cs="Times New Roman"/>
      <w:b/>
      <w:sz w:val="26"/>
      <w:szCs w:val="26"/>
      <w:lang w:val="sl-SI"/>
    </w:rPr>
  </w:style>
  <w:style w:type="character" w:customStyle="1" w:styleId="Heading6Char">
    <w:name w:val="Heading 6 Char"/>
    <w:basedOn w:val="DefaultParagraphFont"/>
    <w:link w:val="Heading6"/>
    <w:rsid w:val="00905089"/>
    <w:rPr>
      <w:rFonts w:ascii="Times New Roman" w:eastAsia="Times New Roman" w:hAnsi="Times New Roman" w:cs="Times New Roman"/>
      <w:b/>
      <w:sz w:val="24"/>
      <w:szCs w:val="24"/>
      <w:lang w:val="sl-SI"/>
    </w:rPr>
  </w:style>
  <w:style w:type="character" w:customStyle="1" w:styleId="Heading7Char">
    <w:name w:val="Heading 7 Char"/>
    <w:basedOn w:val="DefaultParagraphFont"/>
    <w:link w:val="Heading7"/>
    <w:rsid w:val="00905089"/>
    <w:rPr>
      <w:rFonts w:ascii="Times New Roman" w:eastAsia="Times New Roman" w:hAnsi="Times New Roman" w:cs="Times New Roman"/>
      <w:b/>
      <w:spacing w:val="24"/>
      <w:lang w:val="sl-SI"/>
    </w:rPr>
  </w:style>
  <w:style w:type="character" w:customStyle="1" w:styleId="Heading8Char">
    <w:name w:val="Heading 8 Char"/>
    <w:basedOn w:val="DefaultParagraphFont"/>
    <w:link w:val="Heading8"/>
    <w:uiPriority w:val="9"/>
    <w:rsid w:val="00905089"/>
    <w:rPr>
      <w:rFonts w:ascii="Times New Roman" w:eastAsia="Times New Roman" w:hAnsi="Times New Roman" w:cs="Times New Roman"/>
      <w:b/>
      <w:szCs w:val="20"/>
      <w:lang w:val="sl-SI"/>
    </w:rPr>
  </w:style>
  <w:style w:type="character" w:customStyle="1" w:styleId="Heading9Char">
    <w:name w:val="Heading 9 Char"/>
    <w:basedOn w:val="DefaultParagraphFont"/>
    <w:link w:val="Heading9"/>
    <w:uiPriority w:val="9"/>
    <w:rsid w:val="00905089"/>
    <w:rPr>
      <w:rFonts w:asciiTheme="majorHAnsi" w:eastAsiaTheme="majorEastAsia" w:hAnsiTheme="majorHAnsi" w:cstheme="majorBidi"/>
      <w:i/>
      <w:iCs/>
      <w:color w:val="272727" w:themeColor="text1" w:themeTint="D8"/>
      <w:sz w:val="21"/>
      <w:szCs w:val="21"/>
      <w:lang w:val="sl-SI"/>
    </w:rPr>
  </w:style>
  <w:style w:type="paragraph" w:customStyle="1" w:styleId="KAZALO">
    <w:name w:val="KAZALO"/>
    <w:basedOn w:val="Normal"/>
    <w:rsid w:val="00905089"/>
    <w:pPr>
      <w:keepNext/>
      <w:spacing w:after="240"/>
      <w:jc w:val="center"/>
    </w:pPr>
    <w:rPr>
      <w:b/>
      <w:bCs/>
      <w:sz w:val="32"/>
      <w:szCs w:val="32"/>
    </w:rPr>
  </w:style>
  <w:style w:type="paragraph" w:styleId="Header">
    <w:name w:val="header"/>
    <w:basedOn w:val="Normal"/>
    <w:link w:val="HeaderChar"/>
    <w:semiHidden/>
    <w:rsid w:val="00905089"/>
    <w:pPr>
      <w:pBdr>
        <w:bottom w:val="single" w:sz="4" w:space="1" w:color="auto"/>
      </w:pBdr>
      <w:tabs>
        <w:tab w:val="center" w:pos="4536"/>
        <w:tab w:val="right" w:pos="9072"/>
      </w:tabs>
    </w:pPr>
    <w:rPr>
      <w:sz w:val="16"/>
    </w:rPr>
  </w:style>
  <w:style w:type="character" w:customStyle="1" w:styleId="HeaderChar">
    <w:name w:val="Header Char"/>
    <w:basedOn w:val="DefaultParagraphFont"/>
    <w:link w:val="Header"/>
    <w:semiHidden/>
    <w:rsid w:val="00905089"/>
    <w:rPr>
      <w:rFonts w:ascii="Times New Roman" w:eastAsia="Times New Roman" w:hAnsi="Times New Roman" w:cs="Times New Roman"/>
      <w:sz w:val="16"/>
      <w:szCs w:val="20"/>
      <w:lang w:val="sl-SI"/>
    </w:rPr>
  </w:style>
  <w:style w:type="paragraph" w:styleId="Footer">
    <w:name w:val="footer"/>
    <w:basedOn w:val="Normal"/>
    <w:link w:val="FooterChar"/>
    <w:semiHidden/>
    <w:rsid w:val="00905089"/>
    <w:pPr>
      <w:pBdr>
        <w:top w:val="single" w:sz="4" w:space="1" w:color="auto"/>
      </w:pBdr>
      <w:tabs>
        <w:tab w:val="right" w:pos="9540"/>
      </w:tabs>
      <w:ind w:right="-21"/>
      <w:jc w:val="left"/>
    </w:pPr>
    <w:rPr>
      <w:sz w:val="20"/>
    </w:rPr>
  </w:style>
  <w:style w:type="character" w:customStyle="1" w:styleId="FooterChar">
    <w:name w:val="Footer Char"/>
    <w:basedOn w:val="DefaultParagraphFont"/>
    <w:link w:val="Footer"/>
    <w:semiHidden/>
    <w:rsid w:val="00905089"/>
    <w:rPr>
      <w:rFonts w:ascii="Times New Roman" w:eastAsia="Times New Roman" w:hAnsi="Times New Roman" w:cs="Times New Roman"/>
      <w:sz w:val="20"/>
      <w:szCs w:val="20"/>
      <w:lang w:val="sl-SI"/>
    </w:rPr>
  </w:style>
  <w:style w:type="character" w:styleId="PageNumber">
    <w:name w:val="page number"/>
    <w:basedOn w:val="DefaultParagraphFont"/>
    <w:semiHidden/>
    <w:rsid w:val="00905089"/>
  </w:style>
  <w:style w:type="paragraph" w:customStyle="1" w:styleId="Normal3">
    <w:name w:val="Normal 3"/>
    <w:basedOn w:val="Normal"/>
    <w:link w:val="Normal3Char"/>
    <w:rsid w:val="00905089"/>
    <w:pPr>
      <w:ind w:left="360"/>
    </w:pPr>
  </w:style>
  <w:style w:type="paragraph" w:customStyle="1" w:styleId="Normal4">
    <w:name w:val="Normal 4"/>
    <w:basedOn w:val="Normal"/>
    <w:link w:val="Normal4Char"/>
    <w:rsid w:val="00905089"/>
    <w:pPr>
      <w:ind w:left="540"/>
    </w:pPr>
  </w:style>
  <w:style w:type="paragraph" w:customStyle="1" w:styleId="Normal5">
    <w:name w:val="Normal 5"/>
    <w:basedOn w:val="Normal"/>
    <w:link w:val="Normal5Char"/>
    <w:rsid w:val="00905089"/>
    <w:pPr>
      <w:ind w:left="720"/>
    </w:pPr>
  </w:style>
  <w:style w:type="paragraph" w:customStyle="1" w:styleId="Normal6">
    <w:name w:val="Normal 6"/>
    <w:basedOn w:val="Normal"/>
    <w:link w:val="Normal6Char"/>
    <w:rsid w:val="00905089"/>
    <w:pPr>
      <w:ind w:left="1080"/>
    </w:pPr>
  </w:style>
  <w:style w:type="character" w:customStyle="1" w:styleId="Normal3Char">
    <w:name w:val="Normal 3 Char"/>
    <w:basedOn w:val="DefaultParagraphFont"/>
    <w:link w:val="Normal3"/>
    <w:rsid w:val="00905089"/>
    <w:rPr>
      <w:rFonts w:ascii="Times New Roman" w:eastAsia="Times New Roman" w:hAnsi="Times New Roman" w:cs="Times New Roman"/>
      <w:szCs w:val="20"/>
      <w:lang w:val="sl-SI"/>
    </w:rPr>
  </w:style>
  <w:style w:type="character" w:customStyle="1" w:styleId="Normal5Char">
    <w:name w:val="Normal 5 Char"/>
    <w:basedOn w:val="DefaultParagraphFont"/>
    <w:link w:val="Normal5"/>
    <w:rsid w:val="00905089"/>
    <w:rPr>
      <w:rFonts w:ascii="Times New Roman" w:eastAsia="Times New Roman" w:hAnsi="Times New Roman" w:cs="Times New Roman"/>
      <w:szCs w:val="20"/>
      <w:lang w:val="sl-SI"/>
    </w:rPr>
  </w:style>
  <w:style w:type="character" w:customStyle="1" w:styleId="Normal4Char">
    <w:name w:val="Normal 4 Char"/>
    <w:basedOn w:val="DefaultParagraphFont"/>
    <w:link w:val="Normal4"/>
    <w:rsid w:val="00905089"/>
    <w:rPr>
      <w:rFonts w:ascii="Times New Roman" w:eastAsia="Times New Roman" w:hAnsi="Times New Roman" w:cs="Times New Roman"/>
      <w:szCs w:val="20"/>
      <w:lang w:val="sl-SI"/>
    </w:rPr>
  </w:style>
  <w:style w:type="character" w:styleId="Emphasis">
    <w:name w:val="Emphasis"/>
    <w:basedOn w:val="DefaultParagraphFont"/>
    <w:qFormat/>
    <w:rsid w:val="00905089"/>
    <w:rPr>
      <w:b/>
      <w:bCs/>
      <w:i w:val="0"/>
      <w:iCs w:val="0"/>
    </w:rPr>
  </w:style>
  <w:style w:type="character" w:styleId="Strong">
    <w:name w:val="Strong"/>
    <w:basedOn w:val="DefaultParagraphFont"/>
    <w:qFormat/>
    <w:rsid w:val="00905089"/>
    <w:rPr>
      <w:b/>
      <w:bCs/>
    </w:rPr>
  </w:style>
  <w:style w:type="character" w:styleId="Hyperlink">
    <w:name w:val="Hyperlink"/>
    <w:basedOn w:val="DefaultParagraphFont"/>
    <w:rsid w:val="00905089"/>
    <w:rPr>
      <w:color w:val="0000FF"/>
      <w:u w:val="single"/>
    </w:rPr>
  </w:style>
  <w:style w:type="table" w:styleId="TableGrid">
    <w:name w:val="Table Grid"/>
    <w:basedOn w:val="TableNormal"/>
    <w:rsid w:val="00905089"/>
    <w:pPr>
      <w:spacing w:after="0" w:line="240" w:lineRule="auto"/>
    </w:pPr>
    <w:rPr>
      <w:rFonts w:ascii="Times New Roman" w:eastAsia="Times New Roman" w:hAnsi="Times New Roman" w:cs="Times New Roman"/>
      <w:sz w:val="20"/>
      <w:szCs w:val="20"/>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6Char">
    <w:name w:val="Normal 6 Char"/>
    <w:basedOn w:val="DefaultParagraphFont"/>
    <w:link w:val="Normal6"/>
    <w:rsid w:val="00905089"/>
    <w:rPr>
      <w:rFonts w:ascii="Times New Roman" w:eastAsia="Times New Roman" w:hAnsi="Times New Roman" w:cs="Times New Roman"/>
      <w:szCs w:val="20"/>
      <w:lang w:val="sl-SI"/>
    </w:rPr>
  </w:style>
  <w:style w:type="paragraph" w:customStyle="1" w:styleId="CellHeader">
    <w:name w:val="CellHeader"/>
    <w:basedOn w:val="Normal"/>
    <w:qFormat/>
    <w:rsid w:val="00905089"/>
    <w:rPr>
      <w:rFonts w:cs="Arial"/>
      <w:bCs/>
      <w:sz w:val="20"/>
      <w:szCs w:val="22"/>
      <w:lang w:eastAsia="hr-HR"/>
    </w:rPr>
  </w:style>
  <w:style w:type="paragraph" w:customStyle="1" w:styleId="CellColumn">
    <w:name w:val="CellColumn"/>
    <w:basedOn w:val="CellHeader"/>
    <w:qFormat/>
    <w:rsid w:val="00905089"/>
  </w:style>
  <w:style w:type="table" w:customStyle="1" w:styleId="Style1">
    <w:name w:val="Style1"/>
    <w:basedOn w:val="TableNormal"/>
    <w:uiPriority w:val="99"/>
    <w:rsid w:val="00905089"/>
    <w:pPr>
      <w:keepLines/>
      <w:spacing w:after="0" w:line="240" w:lineRule="auto"/>
      <w:jc w:val="center"/>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tblStylePr w:type="firstRow">
      <w:pPr>
        <w:jc w:val="center"/>
      </w:pPr>
      <w:rPr>
        <w:rFonts w:ascii="Times New Roman" w:hAnsi="Times New Roman"/>
        <w:sz w:val="20"/>
      </w:r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tcPr>
    </w:tblStylePr>
  </w:style>
  <w:style w:type="table" w:customStyle="1" w:styleId="StilTablice">
    <w:name w:val="StilTablice"/>
    <w:basedOn w:val="TableNormal"/>
    <w:uiPriority w:val="99"/>
    <w:rsid w:val="00905089"/>
    <w:pPr>
      <w:spacing w:after="120" w:line="240" w:lineRule="auto"/>
      <w:jc w:val="center"/>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paragraph" w:customStyle="1" w:styleId="NormalSpecial">
    <w:name w:val="NormalSpecial"/>
    <w:basedOn w:val="Normal"/>
    <w:next w:val="Normal"/>
    <w:qFormat/>
    <w:rsid w:val="00905089"/>
    <w:pPr>
      <w:keepNext/>
      <w:spacing w:after="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7895</Words>
  <Characters>45002</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Mirjana Prka</dc:creator>
  <cp:keywords/>
  <dc:description/>
  <cp:lastModifiedBy>Mirjana Prka</cp:lastModifiedBy>
  <cp:revision>1</cp:revision>
  <dcterms:created xsi:type="dcterms:W3CDTF">2025-12-15T14:15:00Z</dcterms:created>
  <dcterms:modified xsi:type="dcterms:W3CDTF">2025-12-15T14:17:00Z</dcterms:modified>
</cp:coreProperties>
</file>