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40058B">
        <w:rPr>
          <w:rFonts w:ascii="Arial" w:hAnsi="Arial" w:cs="Arial"/>
          <w:sz w:val="18"/>
          <w:szCs w:val="18"/>
        </w:rPr>
        <w:t xml:space="preserve"> Agencija za znanost i visoko obrazovanje</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40058B">
        <w:rPr>
          <w:rFonts w:ascii="Arial" w:hAnsi="Arial" w:cs="Arial"/>
          <w:sz w:val="18"/>
          <w:szCs w:val="18"/>
        </w:rPr>
        <w:t xml:space="preserve"> Donje Svetice 38, 10 000 Zagreb</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6D78C8">
        <w:rPr>
          <w:rFonts w:ascii="Arial" w:hAnsi="Arial" w:cs="Arial"/>
          <w:sz w:val="18"/>
          <w:szCs w:val="18"/>
        </w:rPr>
        <w:tab/>
      </w:r>
      <w:r w:rsidR="0040058B" w:rsidRPr="0040058B">
        <w:rPr>
          <w:rFonts w:ascii="Times New Roman" w:hAnsi="Times New Roman"/>
          <w:sz w:val="18"/>
          <w:szCs w:val="18"/>
        </w:rPr>
        <w:t>83358955356</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TableGrid"/>
        <w:tblpPr w:leftFromText="180" w:rightFromText="180" w:vertAnchor="page" w:horzAnchor="margin" w:tblpY="3013"/>
        <w:tblW w:w="5000" w:type="pct"/>
        <w:tblLook w:val="04A0" w:firstRow="1" w:lastRow="0" w:firstColumn="1" w:lastColumn="0" w:noHBand="0" w:noVBand="1"/>
      </w:tblPr>
      <w:tblGrid>
        <w:gridCol w:w="687"/>
        <w:gridCol w:w="2052"/>
        <w:gridCol w:w="2061"/>
        <w:gridCol w:w="1322"/>
        <w:gridCol w:w="1322"/>
        <w:gridCol w:w="1322"/>
        <w:gridCol w:w="1322"/>
        <w:gridCol w:w="1325"/>
        <w:gridCol w:w="1326"/>
        <w:gridCol w:w="1326"/>
        <w:gridCol w:w="132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E82A70">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EA05F2">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EA05F2">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40058B" w:rsidRDefault="0040058B" w:rsidP="00EA05F2">
            <w:pPr>
              <w:jc w:val="center"/>
              <w:rPr>
                <w:rFonts w:ascii="Arial" w:hAnsi="Arial" w:cs="Arial"/>
                <w:sz w:val="18"/>
                <w:szCs w:val="18"/>
              </w:rPr>
            </w:pPr>
            <w:r w:rsidRPr="0040058B">
              <w:rPr>
                <w:rFonts w:ascii="Arial" w:hAnsi="Arial" w:cs="Arial"/>
                <w:sz w:val="18"/>
                <w:szCs w:val="18"/>
              </w:rPr>
              <w:t>I</w:t>
            </w:r>
            <w:r w:rsidRPr="0040058B">
              <w:rPr>
                <w:rFonts w:ascii="Arial" w:hAnsi="Arial" w:cs="Arial"/>
                <w:sz w:val="18"/>
                <w:szCs w:val="18"/>
              </w:rPr>
              <w:t>zrada vizualnog identiteta, uspostava mrežnih stranica, izrada promotivnog materijala te provedba promotivnih kampanja</w:t>
            </w:r>
          </w:p>
        </w:tc>
        <w:tc>
          <w:tcPr>
            <w:tcW w:w="670" w:type="pct"/>
            <w:vAlign w:val="center"/>
          </w:tcPr>
          <w:p w:rsidR="005B3E46" w:rsidRPr="0040058B" w:rsidRDefault="0040058B" w:rsidP="00EA05F2">
            <w:pPr>
              <w:jc w:val="center"/>
              <w:rPr>
                <w:rFonts w:ascii="Arial" w:hAnsi="Arial" w:cs="Arial"/>
                <w:sz w:val="18"/>
                <w:szCs w:val="18"/>
              </w:rPr>
            </w:pPr>
            <w:r w:rsidRPr="0040058B">
              <w:rPr>
                <w:rFonts w:ascii="Times New Roman" w:eastAsia="Calibri" w:hAnsi="Times New Roman"/>
                <w:sz w:val="18"/>
                <w:szCs w:val="18"/>
                <w:lang w:eastAsia="en-US"/>
              </w:rPr>
              <w:t>MV</w:t>
            </w:r>
            <w:r>
              <w:rPr>
                <w:rFonts w:ascii="Times New Roman" w:eastAsia="Calibri" w:hAnsi="Times New Roman"/>
                <w:sz w:val="18"/>
                <w:szCs w:val="18"/>
                <w:lang w:eastAsia="en-US"/>
              </w:rPr>
              <w:t>2/2017</w:t>
            </w:r>
          </w:p>
        </w:tc>
        <w:tc>
          <w:tcPr>
            <w:tcW w:w="430" w:type="pct"/>
            <w:vAlign w:val="center"/>
          </w:tcPr>
          <w:p w:rsidR="005B3E46" w:rsidRPr="006D78C8" w:rsidRDefault="0040058B" w:rsidP="00EA05F2">
            <w:pPr>
              <w:jc w:val="center"/>
              <w:rPr>
                <w:rFonts w:ascii="Arial" w:hAnsi="Arial" w:cs="Arial"/>
                <w:sz w:val="18"/>
                <w:szCs w:val="18"/>
              </w:rPr>
            </w:pPr>
            <w:r>
              <w:rPr>
                <w:rFonts w:ascii="Arial" w:hAnsi="Arial" w:cs="Arial"/>
                <w:sz w:val="18"/>
                <w:szCs w:val="18"/>
              </w:rPr>
              <w:t xml:space="preserve">Otvoreni </w:t>
            </w:r>
          </w:p>
        </w:tc>
        <w:tc>
          <w:tcPr>
            <w:tcW w:w="430" w:type="pct"/>
            <w:vAlign w:val="center"/>
          </w:tcPr>
          <w:p w:rsidR="005B3E46" w:rsidRPr="0040058B" w:rsidRDefault="0040058B" w:rsidP="00EA05F2">
            <w:pPr>
              <w:jc w:val="center"/>
              <w:rPr>
                <w:rFonts w:ascii="Arial" w:hAnsi="Arial" w:cs="Arial"/>
                <w:sz w:val="18"/>
                <w:szCs w:val="18"/>
              </w:rPr>
            </w:pPr>
            <w:r w:rsidRPr="0040058B">
              <w:rPr>
                <w:rFonts w:ascii="Arial" w:hAnsi="Arial" w:cs="Arial"/>
                <w:sz w:val="18"/>
                <w:szCs w:val="18"/>
              </w:rPr>
              <w:t>239.641,00 kn</w:t>
            </w:r>
            <w:r w:rsidRPr="0040058B">
              <w:rPr>
                <w:rFonts w:ascii="Arial" w:hAnsi="Arial" w:cs="Arial"/>
                <w:sz w:val="18"/>
                <w:szCs w:val="18"/>
              </w:rPr>
              <w:t xml:space="preserve"> bez PDV-a</w:t>
            </w:r>
          </w:p>
          <w:p w:rsidR="0040058B" w:rsidRPr="006D78C8" w:rsidRDefault="0040058B" w:rsidP="00EA05F2">
            <w:pPr>
              <w:jc w:val="center"/>
              <w:rPr>
                <w:rFonts w:ascii="Arial" w:hAnsi="Arial" w:cs="Arial"/>
                <w:sz w:val="18"/>
                <w:szCs w:val="18"/>
              </w:rPr>
            </w:pPr>
            <w:r w:rsidRPr="0040058B">
              <w:rPr>
                <w:rFonts w:ascii="Arial" w:hAnsi="Arial" w:cs="Arial"/>
                <w:sz w:val="18"/>
                <w:szCs w:val="18"/>
              </w:rPr>
              <w:t>299.551,25</w:t>
            </w:r>
            <w:r w:rsidRPr="0040058B">
              <w:rPr>
                <w:rFonts w:ascii="Arial" w:hAnsi="Arial" w:cs="Arial"/>
                <w:sz w:val="18"/>
                <w:szCs w:val="18"/>
              </w:rPr>
              <w:t xml:space="preserve"> s PDV-om</w:t>
            </w:r>
          </w:p>
        </w:tc>
        <w:tc>
          <w:tcPr>
            <w:tcW w:w="430" w:type="pct"/>
            <w:vAlign w:val="center"/>
          </w:tcPr>
          <w:p w:rsidR="005B3E46" w:rsidRPr="006D78C8" w:rsidRDefault="0040058B" w:rsidP="00EA05F2">
            <w:pPr>
              <w:jc w:val="center"/>
              <w:rPr>
                <w:rFonts w:ascii="Arial" w:hAnsi="Arial" w:cs="Arial"/>
                <w:sz w:val="18"/>
                <w:szCs w:val="18"/>
              </w:rPr>
            </w:pPr>
            <w:r>
              <w:rPr>
                <w:rFonts w:ascii="Arial" w:hAnsi="Arial" w:cs="Arial"/>
                <w:sz w:val="18"/>
                <w:szCs w:val="18"/>
              </w:rPr>
              <w:t>6. rujna 2017.</w:t>
            </w:r>
          </w:p>
        </w:tc>
        <w:tc>
          <w:tcPr>
            <w:tcW w:w="430" w:type="pct"/>
            <w:vAlign w:val="center"/>
          </w:tcPr>
          <w:p w:rsidR="005B3E46" w:rsidRPr="006D78C8" w:rsidRDefault="0040058B" w:rsidP="00EA05F2">
            <w:pPr>
              <w:jc w:val="center"/>
              <w:rPr>
                <w:rFonts w:ascii="Arial" w:hAnsi="Arial" w:cs="Arial"/>
                <w:sz w:val="18"/>
                <w:szCs w:val="18"/>
              </w:rPr>
            </w:pPr>
            <w:r>
              <w:rPr>
                <w:rFonts w:ascii="Arial" w:hAnsi="Arial" w:cs="Arial"/>
                <w:sz w:val="18"/>
                <w:szCs w:val="18"/>
              </w:rPr>
              <w:t>1. siječanj 2019.</w:t>
            </w:r>
          </w:p>
        </w:tc>
        <w:tc>
          <w:tcPr>
            <w:tcW w:w="431" w:type="pct"/>
            <w:vAlign w:val="center"/>
          </w:tcPr>
          <w:p w:rsidR="005B3E46" w:rsidRPr="006D78C8" w:rsidRDefault="0040058B" w:rsidP="0040058B">
            <w:pPr>
              <w:rPr>
                <w:rFonts w:ascii="Arial" w:hAnsi="Arial" w:cs="Arial"/>
                <w:sz w:val="18"/>
                <w:szCs w:val="18"/>
              </w:rPr>
            </w:pPr>
            <w:r>
              <w:rPr>
                <w:rFonts w:ascii="Arial" w:hAnsi="Arial" w:cs="Arial"/>
                <w:sz w:val="18"/>
                <w:szCs w:val="18"/>
              </w:rPr>
              <w:t xml:space="preserve">Prospekt d.o.o. </w:t>
            </w:r>
            <w:r>
              <w:rPr>
                <w:rFonts w:ascii="Times New Roman" w:hAnsi="Times New Roman"/>
                <w:sz w:val="24"/>
                <w:szCs w:val="24"/>
              </w:rPr>
              <w:t xml:space="preserve"> </w:t>
            </w:r>
            <w:proofErr w:type="spellStart"/>
            <w:r w:rsidRPr="0040058B">
              <w:rPr>
                <w:rFonts w:ascii="Arial" w:hAnsi="Arial" w:cs="Arial"/>
                <w:sz w:val="18"/>
                <w:szCs w:val="18"/>
              </w:rPr>
              <w:t>Kvaternikova</w:t>
            </w:r>
            <w:proofErr w:type="spellEnd"/>
            <w:r w:rsidRPr="0040058B">
              <w:rPr>
                <w:rFonts w:ascii="Arial" w:hAnsi="Arial" w:cs="Arial"/>
                <w:sz w:val="18"/>
                <w:szCs w:val="18"/>
              </w:rPr>
              <w:t xml:space="preserve"> 87, Rijeka, OIB: 55224819686</w:t>
            </w:r>
          </w:p>
        </w:tc>
        <w:tc>
          <w:tcPr>
            <w:tcW w:w="431" w:type="pct"/>
            <w:vAlign w:val="center"/>
          </w:tcPr>
          <w:p w:rsidR="005B3E46" w:rsidRPr="006D78C8" w:rsidRDefault="0040058B" w:rsidP="00EA05F2">
            <w:pPr>
              <w:jc w:val="center"/>
              <w:rPr>
                <w:rFonts w:ascii="Arial" w:hAnsi="Arial" w:cs="Arial"/>
                <w:sz w:val="18"/>
                <w:szCs w:val="18"/>
              </w:rPr>
            </w:pPr>
            <w:r>
              <w:rPr>
                <w:rFonts w:ascii="Arial" w:hAnsi="Arial" w:cs="Arial"/>
                <w:sz w:val="18"/>
                <w:szCs w:val="18"/>
              </w:rPr>
              <w:t>1.siječanj 2019.</w:t>
            </w:r>
          </w:p>
        </w:tc>
        <w:tc>
          <w:tcPr>
            <w:tcW w:w="431" w:type="pct"/>
            <w:vAlign w:val="center"/>
          </w:tcPr>
          <w:p w:rsidR="0040058B" w:rsidRPr="0040058B" w:rsidRDefault="0040058B" w:rsidP="0040058B">
            <w:pPr>
              <w:jc w:val="center"/>
              <w:rPr>
                <w:rFonts w:ascii="Arial" w:hAnsi="Arial" w:cs="Arial"/>
                <w:sz w:val="18"/>
                <w:szCs w:val="18"/>
              </w:rPr>
            </w:pPr>
            <w:r w:rsidRPr="0040058B">
              <w:rPr>
                <w:rFonts w:ascii="Arial" w:hAnsi="Arial" w:cs="Arial"/>
                <w:sz w:val="18"/>
                <w:szCs w:val="18"/>
              </w:rPr>
              <w:t>239.641,00 kn bez PDV-a</w:t>
            </w:r>
          </w:p>
          <w:p w:rsidR="005B3E46" w:rsidRPr="006D78C8" w:rsidRDefault="0040058B" w:rsidP="0040058B">
            <w:pPr>
              <w:jc w:val="center"/>
              <w:rPr>
                <w:rFonts w:ascii="Arial" w:hAnsi="Arial" w:cs="Arial"/>
                <w:sz w:val="18"/>
                <w:szCs w:val="18"/>
              </w:rPr>
            </w:pPr>
            <w:r w:rsidRPr="0040058B">
              <w:rPr>
                <w:rFonts w:ascii="Arial" w:hAnsi="Arial" w:cs="Arial"/>
                <w:sz w:val="18"/>
                <w:szCs w:val="18"/>
              </w:rPr>
              <w:t>299.551,25 s PDV-om</w:t>
            </w:r>
          </w:p>
        </w:tc>
        <w:tc>
          <w:tcPr>
            <w:tcW w:w="430" w:type="pct"/>
            <w:vAlign w:val="center"/>
          </w:tcPr>
          <w:p w:rsidR="005B3E46" w:rsidRPr="006D78C8" w:rsidRDefault="005B3E46" w:rsidP="00EA05F2">
            <w:pPr>
              <w:jc w:val="center"/>
              <w:rPr>
                <w:rFonts w:ascii="Arial" w:hAnsi="Arial" w:cs="Arial"/>
                <w:sz w:val="18"/>
                <w:szCs w:val="18"/>
              </w:rPr>
            </w:pPr>
          </w:p>
        </w:tc>
      </w:tr>
      <w:tr w:rsidR="005B3E46" w:rsidRPr="006D78C8" w:rsidTr="00EA05F2">
        <w:trPr>
          <w:trHeight w:val="260"/>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bookmarkStart w:id="0" w:name="_GoBack"/>
      <w:bookmarkEnd w:id="0"/>
    </w:p>
    <w:p w:rsidR="001B1A0E" w:rsidRPr="006D78C8" w:rsidRDefault="001B1A0E" w:rsidP="006D78C8">
      <w:pPr>
        <w:spacing w:after="0" w:line="240" w:lineRule="auto"/>
        <w:rPr>
          <w:rFonts w:ascii="Arial" w:hAnsi="Arial" w:cs="Arial"/>
          <w:sz w:val="18"/>
          <w:szCs w:val="18"/>
        </w:rPr>
      </w:pPr>
    </w:p>
    <w:tbl>
      <w:tblPr>
        <w:tblStyle w:val="TableGrid"/>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1255D8"/>
    <w:rsid w:val="001B1A0E"/>
    <w:rsid w:val="00212E64"/>
    <w:rsid w:val="002F44A5"/>
    <w:rsid w:val="0040058B"/>
    <w:rsid w:val="004B75E0"/>
    <w:rsid w:val="004D717A"/>
    <w:rsid w:val="004E46FC"/>
    <w:rsid w:val="00513A19"/>
    <w:rsid w:val="00596C16"/>
    <w:rsid w:val="005B3E46"/>
    <w:rsid w:val="006D78C8"/>
    <w:rsid w:val="00741999"/>
    <w:rsid w:val="007C3766"/>
    <w:rsid w:val="00827F92"/>
    <w:rsid w:val="009C16AF"/>
    <w:rsid w:val="009F7C54"/>
    <w:rsid w:val="00A7237E"/>
    <w:rsid w:val="00BA549D"/>
    <w:rsid w:val="00BA54BC"/>
    <w:rsid w:val="00C73AE6"/>
    <w:rsid w:val="00CB3BB6"/>
    <w:rsid w:val="00E14FA1"/>
    <w:rsid w:val="00E82A70"/>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9DF70-28DE-4AC8-BD93-F6AFD47A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F9DF-1BB8-4B74-B280-63CFCF6D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Mandić</dc:creator>
  <cp:lastModifiedBy>Mirna Mandić</cp:lastModifiedBy>
  <cp:revision>2</cp:revision>
  <cp:lastPrinted>2015-10-20T08:53:00Z</cp:lastPrinted>
  <dcterms:created xsi:type="dcterms:W3CDTF">2017-12-28T09:51:00Z</dcterms:created>
  <dcterms:modified xsi:type="dcterms:W3CDTF">2017-12-28T09:51:00Z</dcterms:modified>
</cp:coreProperties>
</file>