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3828"/>
        <w:gridCol w:w="4110"/>
        <w:gridCol w:w="4473"/>
      </w:tblGrid>
      <w:tr w:rsidR="005C7E57" w:rsidRPr="007835BE" w:rsidTr="007835BE">
        <w:tc>
          <w:tcPr>
            <w:tcW w:w="14220" w:type="dxa"/>
            <w:gridSpan w:val="4"/>
          </w:tcPr>
          <w:p w:rsidR="005C7E57" w:rsidRPr="007835BE" w:rsidRDefault="005C7E57" w:rsidP="007835B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7835BE">
              <w:rPr>
                <w:sz w:val="32"/>
                <w:szCs w:val="32"/>
              </w:rPr>
              <w:t>Dublinski deskriptori</w:t>
            </w:r>
          </w:p>
        </w:tc>
      </w:tr>
      <w:tr w:rsidR="005C7E57" w:rsidRPr="007835BE" w:rsidTr="007835BE">
        <w:tc>
          <w:tcPr>
            <w:tcW w:w="1809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5BE">
              <w:rPr>
                <w:b/>
                <w:sz w:val="24"/>
                <w:szCs w:val="24"/>
              </w:rPr>
              <w:t>Prvostupnik (Preddiplomski studij)</w:t>
            </w:r>
          </w:p>
        </w:tc>
        <w:tc>
          <w:tcPr>
            <w:tcW w:w="4110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5BE">
              <w:rPr>
                <w:b/>
                <w:sz w:val="24"/>
                <w:szCs w:val="24"/>
              </w:rPr>
              <w:t>Magistar struke (Diplomski studij)</w:t>
            </w:r>
          </w:p>
        </w:tc>
        <w:tc>
          <w:tcPr>
            <w:tcW w:w="4473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5BE">
              <w:rPr>
                <w:b/>
                <w:sz w:val="24"/>
                <w:szCs w:val="24"/>
              </w:rPr>
              <w:t>Doktor znanosti (Poslijediplomski studij)</w:t>
            </w:r>
          </w:p>
        </w:tc>
      </w:tr>
      <w:tr w:rsidR="005C7E57" w:rsidRPr="007835BE" w:rsidTr="007835BE">
        <w:tc>
          <w:tcPr>
            <w:tcW w:w="1809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5BE">
              <w:rPr>
                <w:b/>
                <w:sz w:val="24"/>
                <w:szCs w:val="24"/>
              </w:rPr>
              <w:t>Znanje i razumijevanje</w:t>
            </w:r>
          </w:p>
        </w:tc>
        <w:tc>
          <w:tcPr>
            <w:tcW w:w="3828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demonstrira znanje i razumijevanje u području studija koje se nadograđuje na opće srednjoškolsko obrazovanje i, uz pomoć naprednijih udžbenika, tipično je na razini koja uključuje neke aspekte suvremenih znanja iz područja studija</w:t>
            </w:r>
          </w:p>
        </w:tc>
        <w:tc>
          <w:tcPr>
            <w:tcW w:w="4110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demonstrira znanje i razumijevanje koje počiva na prvom stupnju ali ga proširuje i/ili produbljuje, te tako osigurava temelj ili mogućnost za originalni razvoj i/ili primjenu ideja, često u istraživačkom kontekstu</w:t>
            </w:r>
          </w:p>
        </w:tc>
        <w:tc>
          <w:tcPr>
            <w:tcW w:w="4473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demonstrira sustavno razumijevanje područja studija i vladanje istraživačkim vještinama i metodama vezanima uz to područje</w:t>
            </w:r>
          </w:p>
        </w:tc>
        <w:bookmarkStart w:id="0" w:name="_GoBack"/>
        <w:bookmarkEnd w:id="0"/>
      </w:tr>
      <w:tr w:rsidR="005C7E57" w:rsidRPr="007835BE" w:rsidTr="007835BE">
        <w:tc>
          <w:tcPr>
            <w:tcW w:w="1809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5BE">
              <w:rPr>
                <w:b/>
                <w:sz w:val="24"/>
                <w:szCs w:val="24"/>
              </w:rPr>
              <w:t>Primjena znanja i razumijevanja</w:t>
            </w:r>
          </w:p>
        </w:tc>
        <w:tc>
          <w:tcPr>
            <w:tcW w:w="3828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može primijeniti svoje znanje i razumijevanje na način svojstven odgovarajućoj struci ili poslu, i ima kompetencije koje omogućuju utemeljenu argumentaciju i rješavanje problema iz područja studija</w:t>
            </w:r>
          </w:p>
        </w:tc>
        <w:tc>
          <w:tcPr>
            <w:tcW w:w="4110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svoje znanje, razumijevanje i sposobnosti rješavanja problema može primijeniti u novim ili nepoznatim situacijama u širem (ili multidisciplinarnom) kontekstu vezanom uz područje studija</w:t>
            </w:r>
          </w:p>
        </w:tc>
        <w:tc>
          <w:tcPr>
            <w:tcW w:w="4473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s integritetom znanstvenika demonstrira sposobnost razumijevanja, začinjanja, dizajniranja, implementiranja i prilagođavanja ozbiljnog istraživačkog procesa, čime doprinosi širenju korpusa postojećih znanja, što potvrđuje objavljivanjem svojih originalnih rezultata u domaćim i/ili međunarodno priznatim publikacijama</w:t>
            </w:r>
          </w:p>
        </w:tc>
      </w:tr>
      <w:tr w:rsidR="005C7E57" w:rsidRPr="007835BE" w:rsidTr="007835BE">
        <w:tc>
          <w:tcPr>
            <w:tcW w:w="1809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5BE">
              <w:rPr>
                <w:b/>
                <w:sz w:val="24"/>
                <w:szCs w:val="24"/>
              </w:rPr>
              <w:t>Zaključivanje i rasuđivanje</w:t>
            </w:r>
          </w:p>
        </w:tc>
        <w:tc>
          <w:tcPr>
            <w:tcW w:w="3828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sposoban je prikupiti i interpretirati relevantne podatke (obično iz područja studija) potrebne za donošenje zaključaka vezanih uz relevantna društvena, znanstvena ili etička pitanja</w:t>
            </w:r>
          </w:p>
        </w:tc>
        <w:tc>
          <w:tcPr>
            <w:tcW w:w="4110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sposoban je integrirati znanja i upravljati složenim situacijama, te rasuđivati na temelju nepotpunih ili ograničenih informacija koje uključuju društvene i etičke odgovornosti vezane uz primjenu njegovog znanja i prosudbe</w:t>
            </w:r>
          </w:p>
        </w:tc>
        <w:tc>
          <w:tcPr>
            <w:tcW w:w="4473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ima sposobnost kritičke analize, vrednovanja i sinteze novih i složenih ideja</w:t>
            </w:r>
          </w:p>
        </w:tc>
      </w:tr>
      <w:tr w:rsidR="005C7E57" w:rsidRPr="007835BE" w:rsidTr="007835BE">
        <w:tc>
          <w:tcPr>
            <w:tcW w:w="1809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5BE">
              <w:rPr>
                <w:b/>
                <w:sz w:val="24"/>
                <w:szCs w:val="24"/>
              </w:rPr>
              <w:t>Komunikacija</w:t>
            </w:r>
          </w:p>
        </w:tc>
        <w:tc>
          <w:tcPr>
            <w:tcW w:w="3828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može komunicirati informacije, ideje, probleme i rješenja i stručnjacima i laicima</w:t>
            </w:r>
          </w:p>
        </w:tc>
        <w:tc>
          <w:tcPr>
            <w:tcW w:w="4110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stručnjacima i laicima može jasno i nedvosmisleno komunicirati svoje zaključke te znanje i argumente koji ih podupiru</w:t>
            </w:r>
          </w:p>
        </w:tc>
        <w:tc>
          <w:tcPr>
            <w:tcW w:w="4473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s kolegama stručnjacima, širom znanstvenom zajednicom i širom društvenom zajednicom može komunicirati o području svoje ekspertize</w:t>
            </w:r>
          </w:p>
        </w:tc>
      </w:tr>
      <w:tr w:rsidR="005C7E57" w:rsidRPr="007835BE" w:rsidTr="007835BE">
        <w:tc>
          <w:tcPr>
            <w:tcW w:w="1809" w:type="dxa"/>
          </w:tcPr>
          <w:p w:rsidR="005C7E57" w:rsidRPr="007835BE" w:rsidRDefault="005C7E57" w:rsidP="007835B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35BE">
              <w:rPr>
                <w:b/>
                <w:sz w:val="24"/>
                <w:szCs w:val="24"/>
              </w:rPr>
              <w:t>Vještine učenja</w:t>
            </w:r>
          </w:p>
        </w:tc>
        <w:tc>
          <w:tcPr>
            <w:tcW w:w="3828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razvio je vještine učenja nužne za nastavak studija na višoj razini</w:t>
            </w:r>
          </w:p>
        </w:tc>
        <w:tc>
          <w:tcPr>
            <w:tcW w:w="4110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ima vještine učenja koje mu omogućavaju cjeloživotno obrazovanje</w:t>
            </w:r>
          </w:p>
          <w:p w:rsidR="005C7E57" w:rsidRPr="007835BE" w:rsidRDefault="005C7E57" w:rsidP="007835BE">
            <w:pPr>
              <w:spacing w:after="0" w:line="240" w:lineRule="auto"/>
            </w:pPr>
            <w:r w:rsidRPr="007835BE">
              <w:t>(formalno i samostalno)</w:t>
            </w:r>
          </w:p>
        </w:tc>
        <w:tc>
          <w:tcPr>
            <w:tcW w:w="4473" w:type="dxa"/>
          </w:tcPr>
          <w:p w:rsidR="005C7E57" w:rsidRPr="007835BE" w:rsidRDefault="005C7E57" w:rsidP="007835BE">
            <w:pPr>
              <w:spacing w:after="0" w:line="240" w:lineRule="auto"/>
            </w:pPr>
            <w:r w:rsidRPr="007835BE">
              <w:t>• očekuje se da je sposoban u akademskim i stručnim kontekstima promovirati tehnološki, društveni i kulturni napredak u društvu znanja</w:t>
            </w:r>
          </w:p>
        </w:tc>
      </w:tr>
    </w:tbl>
    <w:p w:rsidR="005C7E57" w:rsidRDefault="005C7E57"/>
    <w:sectPr w:rsidR="005C7E57" w:rsidSect="002656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FD"/>
    <w:rsid w:val="00082144"/>
    <w:rsid w:val="000E444D"/>
    <w:rsid w:val="002656FD"/>
    <w:rsid w:val="00407AF7"/>
    <w:rsid w:val="005C7E57"/>
    <w:rsid w:val="007835BE"/>
    <w:rsid w:val="00A03468"/>
    <w:rsid w:val="00A2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AF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56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65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397</Words>
  <Characters>2263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Dublinski deskriptori</dc:title>
  <dc:subject/>
  <dc:creator>zeljka</dc:creator>
  <cp:keywords/>
  <dc:description/>
  <cp:lastModifiedBy>korisnik</cp:lastModifiedBy>
  <cp:revision>2</cp:revision>
  <dcterms:created xsi:type="dcterms:W3CDTF">2014-01-12T18:03:00Z</dcterms:created>
  <dcterms:modified xsi:type="dcterms:W3CDTF">2014-01-12T18:03:00Z</dcterms:modified>
</cp:coreProperties>
</file>